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0"/>
        <w:jc w:val="center"/>
        <w:rPr>
          <w:rFonts w:hint="eastAsia" w:ascii="微软雅黑" w:hAnsi="微软雅黑" w:eastAsia="微软雅黑" w:cs="微软雅黑"/>
          <w:i w:val="0"/>
          <w:caps w:val="0"/>
          <w:color w:val="444444"/>
          <w:spacing w:val="0"/>
          <w:sz w:val="44"/>
          <w:szCs w:val="44"/>
        </w:rPr>
      </w:pPr>
      <w:r>
        <w:rPr>
          <w:rFonts w:ascii="方正小标宋简体" w:hAnsi="方正小标宋简体" w:eastAsia="方正小标宋简体" w:cs="方正小标宋简体"/>
          <w:b w:val="0"/>
          <w:i w:val="0"/>
          <w:caps w:val="0"/>
          <w:color w:val="000000"/>
          <w:spacing w:val="0"/>
          <w:sz w:val="44"/>
          <w:szCs w:val="44"/>
          <w:shd w:val="clear" w:fill="FFFFFF"/>
        </w:rPr>
        <w:t>威海市信息进村入户工程整市推进实施方案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为加快我市农业农村信息化建设，做好信息进村入户工程建设，助力打造乡村振兴齐鲁样板威海篇，根据省政府办公厅《</w:t>
      </w:r>
      <w:r>
        <w:rPr>
          <w:rFonts w:hint="eastAsia" w:ascii="仿宋" w:hAnsi="仿宋" w:eastAsia="仿宋" w:cs="仿宋"/>
          <w:i w:val="0"/>
          <w:caps w:val="0"/>
          <w:color w:val="444444"/>
          <w:spacing w:val="0"/>
          <w:sz w:val="32"/>
          <w:szCs w:val="32"/>
          <w:shd w:val="clear" w:fill="FFFFFF"/>
        </w:rPr>
        <w:t>关于印发山东省信息进村入户工程整省推进实施方案的通知</w:t>
      </w:r>
      <w:r>
        <w:rPr>
          <w:rFonts w:hint="eastAsia" w:ascii="仿宋" w:hAnsi="仿宋" w:eastAsia="仿宋" w:cs="仿宋"/>
          <w:i w:val="0"/>
          <w:caps w:val="0"/>
          <w:color w:val="000000"/>
          <w:spacing w:val="0"/>
          <w:sz w:val="32"/>
          <w:szCs w:val="32"/>
          <w:shd w:val="clear" w:fill="FFFFFF"/>
        </w:rPr>
        <w:t>》（鲁政办字〔2018〕183号）和省农业农村厅《山东省信息进村入户工程建设运营管理办法（暂行）》有关要求，结合我市实际，制定本方案。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caps w:val="0"/>
          <w:color w:val="444444"/>
          <w:spacing w:val="0"/>
          <w:sz w:val="32"/>
          <w:szCs w:val="32"/>
        </w:rPr>
      </w:pPr>
      <w:r>
        <w:rPr>
          <w:rFonts w:hint="eastAsia" w:ascii="黑体" w:hAnsi="黑体" w:eastAsia="黑体" w:cs="黑体"/>
          <w:i w:val="0"/>
          <w:caps w:val="0"/>
          <w:color w:val="000000"/>
          <w:spacing w:val="0"/>
          <w:sz w:val="32"/>
          <w:szCs w:val="32"/>
          <w:shd w:val="clear" w:fill="FFFFFF"/>
        </w:rPr>
        <w:t>一、指导思想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以习近平新时代中国特色社会主义思想为指导，围绕实施乡村振兴战略，坚持以农民需求为导向，以实现全市农村益农信息社全覆盖为目标，着力推进资源聚合和机制创新，加快信息进村入户建设，完善农业信息服务体系，提升农民信息获取能力和增收致富能力，加快推进农业现代化，为全面建成小康社会提供有力支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caps w:val="0"/>
          <w:color w:val="000000"/>
          <w:spacing w:val="0"/>
          <w:sz w:val="32"/>
          <w:szCs w:val="32"/>
          <w:shd w:val="clear" w:fill="FFFFFF"/>
        </w:rPr>
      </w:pPr>
      <w:r>
        <w:rPr>
          <w:rFonts w:hint="eastAsia" w:ascii="黑体" w:hAnsi="黑体" w:eastAsia="黑体" w:cs="黑体"/>
          <w:i w:val="0"/>
          <w:caps w:val="0"/>
          <w:color w:val="000000"/>
          <w:spacing w:val="0"/>
          <w:sz w:val="32"/>
          <w:szCs w:val="32"/>
          <w:shd w:val="clear" w:fill="FFFFFF"/>
        </w:rPr>
        <w:t>二、基本原则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坚持服务“三农”。紧紧围绕农民群众期待和需求，瞄准农业农村经济发展的薄弱环节，充分发挥信息进村入户在方便农村生产生活、繁荣农村经济和助推脱贫攻坚中的作用，加快缩小城乡数字鸿沟，促进农民收入持续增长。</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坚持政府引导。充分发挥政府部门的引导作用，紧紧围绕农村发展需要，以为农民提供便捷公益信息服务为着眼点和落脚点，夯实“全要素、全过程、全系统”的农村信息服务基础，切实提高农民群众发展生产、改善生活、增收致富的能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坚持市场运作。按照“政府引导、市场运作、农民受益”和“民建公补、公管民营”的原则，探索建立产权清晰、权责明确、诚信守法、共建共享、合作共赢的可持续发展模式。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坚持持续运营。统筹协调各类资源和力量，形成多方协同、上下联动、共建共享的强大合力，通过增值服务实现运营主体和益农信息社自我发展，确保信息进村入户工程持续运营。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caps w:val="0"/>
          <w:color w:val="000000"/>
          <w:spacing w:val="0"/>
          <w:sz w:val="32"/>
          <w:szCs w:val="32"/>
          <w:shd w:val="clear" w:fill="FFFFFF"/>
        </w:rPr>
      </w:pPr>
      <w:r>
        <w:rPr>
          <w:rFonts w:hint="eastAsia" w:ascii="黑体" w:hAnsi="黑体" w:eastAsia="黑体" w:cs="黑体"/>
          <w:i w:val="0"/>
          <w:caps w:val="0"/>
          <w:color w:val="000000"/>
          <w:spacing w:val="0"/>
          <w:sz w:val="32"/>
          <w:szCs w:val="32"/>
          <w:shd w:val="clear" w:fill="FFFFFF"/>
        </w:rPr>
        <w:t>三、总体目标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自2019年起，利用2年时间，按照“六有”标准（有场所、有人员、有设备、有宽带、有网页和有持续运营能力）在全市2451个行政村开展益农信息建设，统一使用省级综合服务平台，并与国家信息进村入户公益平台对接，实现广大农民群众享受公益服务、便民服务、电子商务和培训体验服务不出村，有效解决信息进村入户最后一公里难题，加快“互联网+”现代农业发展进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caps w:val="0"/>
          <w:color w:val="000000"/>
          <w:spacing w:val="0"/>
          <w:sz w:val="32"/>
          <w:szCs w:val="32"/>
          <w:shd w:val="clear" w:fill="FFFFFF"/>
        </w:rPr>
      </w:pPr>
      <w:r>
        <w:rPr>
          <w:rFonts w:hint="eastAsia" w:ascii="黑体" w:hAnsi="黑体" w:eastAsia="黑体" w:cs="黑体"/>
          <w:i w:val="0"/>
          <w:caps w:val="0"/>
          <w:color w:val="000000"/>
          <w:spacing w:val="0"/>
          <w:sz w:val="32"/>
          <w:szCs w:val="32"/>
          <w:shd w:val="clear" w:fill="FFFFFF"/>
        </w:rPr>
        <w:t>四、重点任务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（一）夯实信息进村入户基础。</w:t>
      </w:r>
      <w:r>
        <w:rPr>
          <w:rFonts w:hint="eastAsia" w:ascii="仿宋" w:hAnsi="仿宋" w:eastAsia="仿宋" w:cs="仿宋"/>
          <w:i w:val="0"/>
          <w:caps w:val="0"/>
          <w:color w:val="000000"/>
          <w:spacing w:val="0"/>
          <w:sz w:val="32"/>
          <w:szCs w:val="32"/>
          <w:shd w:val="clear" w:fill="FFFFFF"/>
        </w:rPr>
        <w:t>按照省级统筹，市、县为主体，村为基础，社会主体运作、合作共赢的建管体制和市场化运行机制，统筹整合涉农资金，按照“六有”标准开展中心站、标准站、专业站和简易站四种类型的益农信息社建设。2019年每个区市建成1个县级中心站、行政村总数10%比例的标准站，全市完成1965个行政村益农信息社建设任务，占总目标的80%，手机app下载量20.19万；2020年完成剩余486个行政村任务，基本实现全覆盖，新增手机app下载量13.46万。依托益农信息社，统筹推进农业信息服务、农业电子商务、农业物联网和农业农村大数据发展，结合现代农业示范区等园区建设，打造一批农业特色互联网小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i w:val="0"/>
          <w:caps w:val="0"/>
          <w:color w:val="000000"/>
          <w:spacing w:val="0"/>
          <w:sz w:val="32"/>
          <w:szCs w:val="32"/>
          <w:shd w:val="clear" w:fill="FFFFFF"/>
        </w:rPr>
      </w:pPr>
      <w:r>
        <w:rPr>
          <w:rFonts w:hint="eastAsia" w:ascii="楷体" w:hAnsi="楷体" w:eastAsia="楷体" w:cs="楷体"/>
          <w:i w:val="0"/>
          <w:caps w:val="0"/>
          <w:color w:val="000000"/>
          <w:spacing w:val="0"/>
          <w:sz w:val="32"/>
          <w:szCs w:val="32"/>
          <w:shd w:val="clear" w:fill="FFFFFF"/>
        </w:rPr>
        <w:t>（二）全面推进信息服务应用。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1.畅通服务渠道。对接省级综合服务系统，整合接入12316信息服务、农业云平台等，实现公益服务进村入户；整合接入远程医疗服务平台、电信运营商充值缴费系统等公用事业缴费系统、小额提现系统等便民服务进村入户；整合接入山东品牌农产品商城、邮政和快递、供销e家等物流、电商平台，实现电子商务进村入户；整合接入山东农民培训网等，实现培训体验服务进村入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2.提升信息服务能力。帮助农民查询和发布产品供求、市场价格、招聘用工信息、医疗预约挂号、生活缴费、小额提现等服务，指导农村信息员进行农业生产、农村经济运行信息采集、监测和村网页信息更新；帮助农民代购农资、工业品并提供物流到家；组织农民开展线上生产技术、政策、市场等相关业务培训和农民手机应用技能培训。以省级综合服务平台为基础，逐步整合现有的农业社会化综合服务平台、农产品质量安全监管平台、农村三资监管平台等各类农业信息服务系统，实现资源融合共享，提升服务能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3.构建共享经济生态。加强信息资源共享，实现农产品产销对接；规范统计农业生产机具信息，实现农村生产资源共享，提高机具使用率；及时发布闲置劳动力和用工信息，实现农村闲置劳动力的有效安置。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i w:val="0"/>
          <w:caps w:val="0"/>
          <w:color w:val="000000"/>
          <w:spacing w:val="0"/>
          <w:sz w:val="32"/>
          <w:szCs w:val="32"/>
          <w:shd w:val="clear" w:fill="FFFFFF"/>
        </w:rPr>
      </w:pPr>
      <w:r>
        <w:rPr>
          <w:rFonts w:hint="eastAsia" w:ascii="楷体" w:hAnsi="楷体" w:eastAsia="楷体" w:cs="楷体"/>
          <w:i w:val="0"/>
          <w:caps w:val="0"/>
          <w:color w:val="000000"/>
          <w:spacing w:val="0"/>
          <w:sz w:val="32"/>
          <w:szCs w:val="32"/>
          <w:shd w:val="clear" w:fill="FFFFFF"/>
        </w:rPr>
        <w:t>（三）加快人才队伍建设。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1.实施村级信息员培训计划。以“有文化、懂信息、能服务、会经营”为标准，依托益农信息社运营主体，以区市、镇街为单位开展计算机、智能手机及互联网等基础知识和应用技能集中培训，并进行能力考核，确保每个行政村至少有1名合格的信息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2.开展农民手机应用技能培训。依托通信运营商和益农信息社等，重点组织农民、返乡农民工、大学生村官、复转军人、大中专和初高中毕业生、村两委成员等围绕手机在农业生产、经营、管理和服务等方面的应用，利用益农信息社终端对接全国农民手机应用技能培训平台，组织通信运营商、软件服务商制作培训课件，录制培训视频，定期定点在益农信息社平台播放，广泛开展农民手机应用技能培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3.优化专家服务团队。依托现有省、市、县三级农业专家团队，面向农业部门、科研院所、大中专院校等，遴选政策理论水平高、实战经验丰富、善于与农民沟通交流的优秀农业科技、市场信息、政策法律专业技术人员，聘请一批在当地特色农业生产、经营方面的“土专家”，充实优化专家服务团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（四）创新运营机制和方式。</w:t>
      </w:r>
      <w:r>
        <w:rPr>
          <w:rFonts w:hint="eastAsia" w:ascii="仿宋" w:hAnsi="仿宋" w:eastAsia="仿宋" w:cs="仿宋"/>
          <w:i w:val="0"/>
          <w:caps w:val="0"/>
          <w:color w:val="000000"/>
          <w:spacing w:val="0"/>
          <w:sz w:val="32"/>
          <w:szCs w:val="32"/>
          <w:shd w:val="clear" w:fill="FFFFFF"/>
        </w:rPr>
        <w:t>按照“政府引导、企业主体、市场运作”方式，不断探索政企合作长效推进模式，创新服务资源融合共享机制，形成有特色的整市推进信息进村入户运营机制和方式。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1.各方协同推进。市农业农村局制定实施方案、落实省级实施方案、检查指导考核。市级运营商做好对接省级综合服务系统、运营维护、组织信息员培训及其他服务工作。区市农业部门按照市级实施方案要求，制定本级实施方案，按时完成益农信息社建设任务，确保各类公益服务、便民服务等服务资源无缝接入益农信息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2.政府购买服务。各区市要按照政府购买服务有关规定，通过公开招标、邀请招标、竞争性谈判、单一来源采购、定向委托等方式，将信息进村入户推进交由具备资质条件的社会力量和单位承担。要科学设定服务需求和目标要求，依法依规对购买服务进行全过程监督管理，确保财政资金使用规范、安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 w:hAnsi="楷体" w:eastAsia="楷体" w:cs="楷体"/>
          <w:i w:val="0"/>
          <w:caps w:val="0"/>
          <w:color w:val="000000"/>
          <w:spacing w:val="0"/>
          <w:sz w:val="32"/>
          <w:szCs w:val="32"/>
          <w:shd w:val="clear" w:fill="FFFFFF"/>
        </w:rPr>
      </w:pPr>
      <w:r>
        <w:rPr>
          <w:rFonts w:hint="eastAsia" w:ascii="楷体" w:hAnsi="楷体" w:eastAsia="楷体" w:cs="楷体"/>
          <w:i w:val="0"/>
          <w:caps w:val="0"/>
          <w:color w:val="000000"/>
          <w:spacing w:val="0"/>
          <w:sz w:val="32"/>
          <w:szCs w:val="32"/>
          <w:shd w:val="clear" w:fill="FFFFFF"/>
        </w:rPr>
        <w:t>（五）建立健全制度规范和监管体系。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1.建立健全信息进村入户工程工作规范。制定完善信息进村入户工程工作规范、益农信息社选点及建设标准规范、信息进村入户村级服务站信息员培训制度、益农信息社运行管理标准等制度规范，明确各方责任和权利，以及益农信息社服务标准和内容，为农民群众提供更优质的信息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2.加强工程建设监督管理。建立信息进村入户工程推进定期督查制度，各区市农业部门要以目标为导向，强化制度执行和过程监督，严格激励约束和责任落实，确保监督有效、风险可控。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caps w:val="0"/>
          <w:color w:val="000000"/>
          <w:spacing w:val="0"/>
          <w:sz w:val="32"/>
          <w:szCs w:val="32"/>
          <w:shd w:val="clear" w:fill="FFFFFF"/>
        </w:rPr>
      </w:pPr>
      <w:r>
        <w:rPr>
          <w:rFonts w:hint="eastAsia" w:ascii="黑体" w:hAnsi="黑体" w:eastAsia="黑体" w:cs="黑体"/>
          <w:i w:val="0"/>
          <w:caps w:val="0"/>
          <w:color w:val="000000"/>
          <w:spacing w:val="0"/>
          <w:sz w:val="32"/>
          <w:szCs w:val="32"/>
          <w:shd w:val="clear" w:fill="FFFFFF"/>
        </w:rPr>
        <w:t>五、保障措施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（一）加强组织领导。</w:t>
      </w:r>
      <w:r>
        <w:rPr>
          <w:rFonts w:hint="eastAsia" w:ascii="仿宋" w:hAnsi="仿宋" w:eastAsia="仿宋" w:cs="仿宋"/>
          <w:i w:val="0"/>
          <w:caps w:val="0"/>
          <w:color w:val="000000"/>
          <w:spacing w:val="0"/>
          <w:sz w:val="32"/>
          <w:szCs w:val="32"/>
          <w:shd w:val="clear" w:fill="FFFFFF"/>
        </w:rPr>
        <w:t>按照农业农村部、省农业农村厅关于信息进村入户工程部署要求，市、县两级要成立市信息进村入户工程领导小组和益农信息社建设推进工作组。市信息进村入户工程领导小组组长由市政府分管领导担任，副组长由市农业农村局主要负责人担任，成员包含市农业农村局和运营主体等单位的领导。主要负责：统筹协调资源、明确职责分工、指导工作推进组各项工作有序推进和落实。益农信息社建设推进工作组组长由市农业农村局主要负责人担任，副组长由市农业农村局分管领导担任，成员包括市农业农村局相关业务科长和市级运营主体负责人等，主要职责：根据《山东省信息进村入户工程整省推进实施方案》，制定本市信息进村入户工程方案，提出建设计划和建设要求，会同区市确定每个行政村益农信息社建站类型，对运营主体建设的益农信息社进行验收。各区市也要完善相应工作机制，统筹推进各项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（二）强化宣传引导。</w:t>
      </w:r>
      <w:r>
        <w:rPr>
          <w:rFonts w:hint="eastAsia" w:ascii="仿宋" w:hAnsi="仿宋" w:eastAsia="仿宋" w:cs="仿宋"/>
          <w:i w:val="0"/>
          <w:caps w:val="0"/>
          <w:color w:val="000000"/>
          <w:spacing w:val="0"/>
          <w:sz w:val="32"/>
          <w:szCs w:val="32"/>
          <w:shd w:val="clear" w:fill="FFFFFF"/>
        </w:rPr>
        <w:t>加大对信息进村入户政策措施、建设经验、服务成效和优秀典型的宣传力度，开展服务平台、运营模式推介，积极营造全社会关心支持信息进村入户的良好氛围。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（三）加大投入力度。</w:t>
      </w:r>
      <w:r>
        <w:rPr>
          <w:rFonts w:hint="eastAsia" w:ascii="仿宋" w:hAnsi="仿宋" w:eastAsia="仿宋" w:cs="仿宋"/>
          <w:i w:val="0"/>
          <w:caps w:val="0"/>
          <w:color w:val="000000"/>
          <w:spacing w:val="0"/>
          <w:sz w:val="32"/>
          <w:szCs w:val="32"/>
          <w:shd w:val="clear" w:fill="FFFFFF"/>
        </w:rPr>
        <w:t>充分依托农村现有农村商业网点、村委会、小卖部、农资店、新型经营主体、惠农信息服务站、农村党员远程教育点、农技推广机构、农业社会化综合服务中心等现有设施和条件，建设益农信息社。采取先建后补、以奖代补方式，各区市要结合当地发展规划，按照涉农资金整合使用的有关要求，加大政策支持力度，积极探索政府与社会资本合作、政府购买服务、政府购买流量等方式，支持运营主体和益农信息社开展各项服务，提高运营能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（四）培育市场机制。</w:t>
      </w:r>
      <w:r>
        <w:rPr>
          <w:rFonts w:hint="eastAsia" w:ascii="仿宋" w:hAnsi="仿宋" w:eastAsia="仿宋" w:cs="仿宋"/>
          <w:i w:val="0"/>
          <w:caps w:val="0"/>
          <w:color w:val="000000"/>
          <w:spacing w:val="0"/>
          <w:sz w:val="32"/>
          <w:szCs w:val="32"/>
          <w:shd w:val="clear" w:fill="FFFFFF"/>
        </w:rPr>
        <w:t>按照“政企联合，协同推进”的运营模式，对运营主体给予一定补助。引导运营主体探索盈利模式，建立长效运营机制，确保益农信息社持续运营。指导运营企业建立产权清晰、权责明确、诚信经营的现代企业管理制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楷体" w:hAnsi="楷体" w:eastAsia="楷体" w:cs="楷体"/>
          <w:i w:val="0"/>
          <w:caps w:val="0"/>
          <w:color w:val="000000"/>
          <w:spacing w:val="0"/>
          <w:sz w:val="32"/>
          <w:szCs w:val="32"/>
          <w:shd w:val="clear" w:fill="FFFFFF"/>
        </w:rPr>
        <w:t>（五）加强工作调度。</w:t>
      </w:r>
      <w:r>
        <w:rPr>
          <w:rFonts w:hint="eastAsia" w:ascii="仿宋" w:hAnsi="仿宋" w:eastAsia="仿宋" w:cs="仿宋"/>
          <w:i w:val="0"/>
          <w:caps w:val="0"/>
          <w:color w:val="000000"/>
          <w:spacing w:val="0"/>
          <w:sz w:val="32"/>
          <w:szCs w:val="32"/>
          <w:shd w:val="clear" w:fill="FFFFFF"/>
        </w:rPr>
        <w:t>各区市要迅速启动工作，科学制定实施方案，明确建设内容和资金使用方向，5月底前完成方案编制并报市农业农村局审核备案。要明确专人负责工作进展调度，完善月报制度，每月25日前填报《山东省信息进村入户工程实施进度调度表》报市农业农村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444444"/>
          <w:spacing w:val="0"/>
          <w:sz w:val="32"/>
          <w:szCs w:val="32"/>
          <w:shd w:val="clear" w:fill="FFFFFF"/>
        </w:rPr>
        <w:t>附件：1.</w:t>
      </w:r>
      <w:r>
        <w:rPr>
          <w:rFonts w:hint="eastAsia" w:ascii="仿宋" w:hAnsi="仿宋" w:eastAsia="仿宋" w:cs="仿宋"/>
          <w:i w:val="0"/>
          <w:caps w:val="0"/>
          <w:color w:val="000000"/>
          <w:spacing w:val="0"/>
          <w:sz w:val="32"/>
          <w:szCs w:val="32"/>
          <w:shd w:val="clear" w:fill="FFFFFF"/>
        </w:rPr>
        <w:t>各区市益农信息社年度建设任务及建议APP下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载分配表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2.山东省信息进村入户工程实施进度调度表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caps w:val="0"/>
          <w:color w:val="444444"/>
          <w:spacing w:val="0"/>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left"/>
        <w:textAlignment w:val="auto"/>
        <w:rPr>
          <w:rFonts w:hint="eastAsia" w:ascii="黑体" w:hAnsi="黑体" w:eastAsia="黑体" w:cs="黑体"/>
          <w:i w:val="0"/>
          <w:caps w:val="0"/>
          <w:color w:val="444444"/>
          <w:spacing w:val="0"/>
          <w:sz w:val="36"/>
          <w:szCs w:val="36"/>
        </w:rPr>
      </w:pPr>
      <w:bookmarkStart w:id="0" w:name="_GoBack"/>
      <w:bookmarkEnd w:id="0"/>
      <w:r>
        <w:rPr>
          <w:rFonts w:hint="eastAsia" w:ascii="黑体" w:hAnsi="黑体" w:eastAsia="黑体" w:cs="黑体"/>
          <w:i w:val="0"/>
          <w:caps w:val="0"/>
          <w:color w:val="000000"/>
          <w:spacing w:val="0"/>
          <w:sz w:val="36"/>
          <w:szCs w:val="36"/>
          <w:shd w:val="clear" w:fill="FFFFFF"/>
        </w:rPr>
        <w:t>附件1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880" w:firstLineChars="200"/>
        <w:jc w:val="center"/>
        <w:textAlignment w:val="auto"/>
        <w:rPr>
          <w:rFonts w:hint="eastAsia" w:ascii="方正小标宋简体" w:hAnsi="方正小标宋简体" w:eastAsia="方正小标宋简体" w:cs="方正小标宋简体"/>
          <w:i w:val="0"/>
          <w:caps w:val="0"/>
          <w:color w:val="444444"/>
          <w:spacing w:val="0"/>
          <w:sz w:val="44"/>
          <w:szCs w:val="44"/>
        </w:rPr>
      </w:pPr>
      <w:r>
        <w:rPr>
          <w:rFonts w:hint="eastAsia" w:ascii="方正小标宋简体" w:hAnsi="方正小标宋简体" w:eastAsia="方正小标宋简体" w:cs="方正小标宋简体"/>
          <w:i w:val="0"/>
          <w:caps w:val="0"/>
          <w:color w:val="000000"/>
          <w:spacing w:val="0"/>
          <w:sz w:val="44"/>
          <w:szCs w:val="44"/>
          <w:shd w:val="clear" w:fill="FFFFFF"/>
        </w:rPr>
        <w:t>各区市益农信息社年度建设任务及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880" w:firstLineChars="200"/>
        <w:jc w:val="center"/>
        <w:textAlignment w:val="auto"/>
        <w:rPr>
          <w:rFonts w:hint="eastAsia" w:ascii="方正小标宋简体" w:hAnsi="方正小标宋简体" w:eastAsia="方正小标宋简体" w:cs="方正小标宋简体"/>
          <w:i w:val="0"/>
          <w:caps w:val="0"/>
          <w:color w:val="444444"/>
          <w:spacing w:val="0"/>
          <w:sz w:val="44"/>
          <w:szCs w:val="44"/>
        </w:rPr>
      </w:pPr>
      <w:r>
        <w:rPr>
          <w:rFonts w:hint="eastAsia" w:ascii="方正小标宋简体" w:hAnsi="方正小标宋简体" w:eastAsia="方正小标宋简体" w:cs="方正小标宋简体"/>
          <w:i w:val="0"/>
          <w:caps w:val="0"/>
          <w:color w:val="000000"/>
          <w:spacing w:val="0"/>
          <w:sz w:val="44"/>
          <w:szCs w:val="44"/>
          <w:shd w:val="clear" w:fill="FFFFFF"/>
        </w:rPr>
        <w:t>建议APP下载分配表</w:t>
      </w:r>
    </w:p>
    <w:tbl>
      <w:tblPr>
        <w:tblStyle w:val="6"/>
        <w:tblW w:w="8925" w:type="dxa"/>
        <w:jc w:val="center"/>
        <w:tblInd w:w="65"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
      <w:tblGrid>
        <w:gridCol w:w="1425"/>
        <w:gridCol w:w="1170"/>
        <w:gridCol w:w="1845"/>
        <w:gridCol w:w="1275"/>
        <w:gridCol w:w="1695"/>
        <w:gridCol w:w="1515"/>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trHeight w:val="330" w:hRule="atLeast"/>
          <w:jc w:val="center"/>
        </w:trPr>
        <w:tc>
          <w:tcPr>
            <w:tcW w:w="1425" w:type="dxa"/>
            <w:vMerge w:val="restart"/>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区市</w:t>
            </w:r>
          </w:p>
        </w:tc>
        <w:tc>
          <w:tcPr>
            <w:tcW w:w="1170" w:type="dxa"/>
            <w:vMerge w:val="restart"/>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村民委员会数量（个）</w:t>
            </w:r>
          </w:p>
        </w:tc>
        <w:tc>
          <w:tcPr>
            <w:tcW w:w="3120" w:type="dxa"/>
            <w:gridSpan w:val="2"/>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2019年任务数</w:t>
            </w:r>
          </w:p>
        </w:tc>
        <w:tc>
          <w:tcPr>
            <w:tcW w:w="3210" w:type="dxa"/>
            <w:gridSpan w:val="2"/>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2020年任务数</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1695" w:hRule="atLeast"/>
          <w:jc w:val="center"/>
        </w:trPr>
        <w:tc>
          <w:tcPr>
            <w:tcW w:w="1425" w:type="dxa"/>
            <w:vMerge w:val="continue"/>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ind w:firstLine="640" w:firstLineChars="200"/>
              <w:jc w:val="center"/>
              <w:textAlignment w:val="auto"/>
              <w:rPr>
                <w:rFonts w:hint="eastAsia" w:ascii="仿宋" w:hAnsi="仿宋" w:eastAsia="仿宋" w:cs="仿宋"/>
                <w:i w:val="0"/>
                <w:caps w:val="0"/>
                <w:color w:val="444444"/>
                <w:spacing w:val="0"/>
                <w:sz w:val="32"/>
                <w:szCs w:val="32"/>
              </w:rPr>
            </w:pPr>
          </w:p>
        </w:tc>
        <w:tc>
          <w:tcPr>
            <w:tcW w:w="1170" w:type="dxa"/>
            <w:vMerge w:val="continue"/>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ind w:firstLine="640" w:firstLineChars="200"/>
              <w:jc w:val="center"/>
              <w:textAlignment w:val="auto"/>
              <w:rPr>
                <w:rFonts w:hint="eastAsia" w:ascii="仿宋" w:hAnsi="仿宋" w:eastAsia="仿宋" w:cs="仿宋"/>
                <w:i w:val="0"/>
                <w:caps w:val="0"/>
                <w:color w:val="444444"/>
                <w:spacing w:val="0"/>
                <w:sz w:val="32"/>
                <w:szCs w:val="32"/>
              </w:rPr>
            </w:pP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益农信息社个数（个）</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建议APP下载量（万）</w:t>
            </w:r>
          </w:p>
        </w:tc>
        <w:tc>
          <w:tcPr>
            <w:tcW w:w="169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益农信息社个数（个）</w:t>
            </w:r>
          </w:p>
        </w:tc>
        <w:tc>
          <w:tcPr>
            <w:tcW w:w="151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建议新增APP下载量（万）</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trHeight w:val="585" w:hRule="atLeast"/>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环翠区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64</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52</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0.53</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12</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0.35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trHeight w:val="525" w:hRule="atLeast"/>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文登区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628</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503</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5.17</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125</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3.45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trHeight w:val="600" w:hRule="atLeast"/>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荣成市</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816</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653</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6.72</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163</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4.48</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trHeight w:val="525" w:hRule="atLeast"/>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乳山市</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601</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481</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4.96</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120</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3.3</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高区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41</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33</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0.34</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8</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0.23</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65" w:hRule="atLeast"/>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经区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94</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76</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0.77</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18</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0.52</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临港区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154</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124</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1.26</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30</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0.85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南海新区</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53</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43</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0.44</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10</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0.3</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Ex>
        <w:trPr>
          <w:jc w:val="center"/>
        </w:trPr>
        <w:tc>
          <w:tcPr>
            <w:tcW w:w="142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合计</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2451</w:t>
            </w:r>
          </w:p>
        </w:tc>
        <w:tc>
          <w:tcPr>
            <w:tcW w:w="18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1965</w:t>
            </w:r>
          </w:p>
        </w:tc>
        <w:tc>
          <w:tcPr>
            <w:tcW w:w="127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20.19</w:t>
            </w:r>
          </w:p>
        </w:tc>
        <w:tc>
          <w:tcPr>
            <w:tcW w:w="16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486</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 w:hAnsi="仿宋" w:eastAsia="仿宋" w:cs="仿宋"/>
                <w:sz w:val="32"/>
                <w:szCs w:val="32"/>
              </w:rPr>
            </w:pPr>
            <w:r>
              <w:rPr>
                <w:rFonts w:hint="eastAsia" w:ascii="仿宋" w:hAnsi="仿宋" w:eastAsia="仿宋" w:cs="仿宋"/>
                <w:i w:val="0"/>
                <w:caps w:val="0"/>
                <w:color w:val="000000"/>
                <w:spacing w:val="0"/>
                <w:sz w:val="32"/>
                <w:szCs w:val="32"/>
              </w:rPr>
              <w:t>13.48</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 w:hAnsi="仿宋" w:eastAsia="仿宋" w:cs="仿宋"/>
          <w:i w:val="0"/>
          <w:caps w:val="0"/>
          <w:color w:val="444444"/>
          <w:spacing w:val="0"/>
          <w:sz w:val="32"/>
          <w:szCs w:val="32"/>
        </w:rPr>
      </w:pPr>
      <w:r>
        <w:rPr>
          <w:rFonts w:hint="eastAsia" w:ascii="仿宋" w:hAnsi="仿宋" w:eastAsia="仿宋" w:cs="仿宋"/>
          <w:i w:val="0"/>
          <w:caps w:val="0"/>
          <w:color w:val="000000"/>
          <w:spacing w:val="0"/>
          <w:sz w:val="32"/>
          <w:szCs w:val="32"/>
          <w:shd w:val="clear" w:fill="FFFFFF"/>
        </w:rPr>
        <w:t>备注：全市村民委员会数据统计截至2018年年底，各区市根据行政村撤并等实际情况，向市农业局报备后，可适当调整2020年益农信息社建设任务数量。</w:t>
      </w:r>
    </w:p>
    <w:p>
      <w:pPr>
        <w:keepNext w:val="0"/>
        <w:keepLines w:val="0"/>
        <w:pageBreakBefore w:val="0"/>
        <w:kinsoku/>
        <w:wordWrap/>
        <w:overflowPunct/>
        <w:topLinePunct w:val="0"/>
        <w:autoSpaceDE/>
        <w:autoSpaceDN/>
        <w:bidi w:val="0"/>
        <w:adjustRightInd/>
        <w:snapToGrid/>
        <w:spacing w:line="560" w:lineRule="exact"/>
        <w:ind w:firstLine="420" w:firstLineChars="200"/>
        <w:textAlignment w:val="auto"/>
      </w:pPr>
    </w:p>
    <w:p>
      <w:pPr>
        <w:keepNext w:val="0"/>
        <w:keepLines w:val="0"/>
        <w:pageBreakBefore w:val="0"/>
        <w:kinsoku/>
        <w:wordWrap/>
        <w:overflowPunct/>
        <w:topLinePunct w:val="0"/>
        <w:autoSpaceDE/>
        <w:autoSpaceDN/>
        <w:bidi w:val="0"/>
        <w:adjustRightInd/>
        <w:snapToGrid/>
        <w:spacing w:line="560" w:lineRule="exact"/>
        <w:ind w:firstLine="420" w:firstLineChars="200"/>
        <w:textAlignment w:val="auto"/>
      </w:pP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隶书">
    <w:panose1 w:val="0201050906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4017B71"/>
    <w:rsid w:val="088373D7"/>
    <w:rsid w:val="11F61841"/>
    <w:rsid w:val="149D6E0C"/>
    <w:rsid w:val="223703BA"/>
    <w:rsid w:val="341B7595"/>
    <w:rsid w:val="4D780CA6"/>
    <w:rsid w:val="4F3B327F"/>
    <w:rsid w:val="5A681E0B"/>
    <w:rsid w:val="65E25EE9"/>
    <w:rsid w:val="6F5C01A3"/>
    <w:rsid w:val="6FD84BDB"/>
    <w:rsid w:val="70653826"/>
    <w:rsid w:val="754E26EF"/>
    <w:rsid w:val="79237B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paragraph" w:styleId="4">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7">
    <w:name w:val="公文格式标题"/>
    <w:basedOn w:val="4"/>
    <w:qFormat/>
    <w:uiPriority w:val="0"/>
    <w:pPr>
      <w:spacing w:line="560" w:lineRule="exact"/>
    </w:pPr>
    <w:rPr>
      <w:rFonts w:eastAsia="方正小标宋简体" w:asciiTheme="minorAscii" w:hAnsiTheme="minorAscii"/>
      <w:b w:val="0"/>
      <w:sz w:val="44"/>
    </w:rPr>
  </w:style>
  <w:style w:type="paragraph" w:customStyle="1" w:styleId="8">
    <w:name w:val="公文格式正文"/>
    <w:basedOn w:val="2"/>
    <w:uiPriority w:val="0"/>
    <w:pPr>
      <w:snapToGrid w:val="0"/>
      <w:spacing w:line="560" w:lineRule="exact"/>
      <w:ind w:firstLine="880" w:firstLineChars="200"/>
    </w:pPr>
    <w:rPr>
      <w:rFonts w:ascii="Times New Roman" w:hAnsi="Times New Roman" w:eastAsia="仿宋_GB2312"/>
      <w:sz w:val="32"/>
    </w:rPr>
  </w:style>
  <w:style w:type="paragraph" w:customStyle="1" w:styleId="9">
    <w:name w:val="公文格式一级标题"/>
    <w:basedOn w:val="1"/>
    <w:qFormat/>
    <w:uiPriority w:val="0"/>
    <w:pPr>
      <w:spacing w:line="560" w:lineRule="exact"/>
      <w:ind w:firstLine="880" w:firstLineChars="200"/>
      <w:outlineLvl w:val="1"/>
    </w:pPr>
    <w:rPr>
      <w:rFonts w:eastAsia="黑体" w:asciiTheme="minorAscii" w:hAnsiTheme="minorAscii"/>
      <w:sz w:val="32"/>
    </w:rPr>
  </w:style>
  <w:style w:type="paragraph" w:customStyle="1" w:styleId="10">
    <w:name w:val="公文格式二级标题"/>
    <w:basedOn w:val="1"/>
    <w:qFormat/>
    <w:uiPriority w:val="0"/>
    <w:rPr>
      <w:rFonts w:eastAsia="楷体" w:asciiTheme="minorAscii" w:hAnsiTheme="minorAscii"/>
      <w:sz w:val="32"/>
    </w:rPr>
  </w:style>
  <w:style w:type="paragraph" w:customStyle="1" w:styleId="11">
    <w:name w:val="公文格式三级标题"/>
    <w:basedOn w:val="1"/>
    <w:uiPriority w:val="0"/>
    <w:pPr>
      <w:spacing w:line="560" w:lineRule="exact"/>
      <w:ind w:firstLine="880" w:firstLineChars="200"/>
    </w:pPr>
    <w:rPr>
      <w:rFonts w:eastAsia="仿宋_GB2312" w:asciiTheme="minorAscii" w:hAnsiTheme="minorAscii"/>
      <w:b/>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2</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2019-07-17T06:57:00Z</dcterms:created>
  <dc:creator>Administrator</dc:creator>
  <cp:lastModifiedBy>陈玉华</cp:lastModifiedBy>
  <dcterms:modified xsi:type="dcterms:W3CDTF">2019-12-10T02:41:05Z</dcterms:modified>
  <dc:title>威海市信息进村入户工程整市推进实施方案</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