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附件4</w:t>
      </w:r>
    </w:p>
    <w:p>
      <w:pPr>
        <w:pStyle w:val="12"/>
        <w:widowControl/>
        <w:spacing w:before="0" w:beforeAutospacing="0" w:after="0" w:afterAutospacing="0" w:line="560" w:lineRule="exact"/>
        <w:jc w:val="center"/>
        <w:rPr>
          <w:rFonts w:hint="eastAsia" w:ascii="宋体" w:hAnsi="宋体" w:eastAsia="方正小标宋简体" w:cs="方正小标宋简体"/>
          <w:sz w:val="44"/>
          <w:szCs w:val="44"/>
        </w:rPr>
      </w:pPr>
    </w:p>
    <w:p>
      <w:pPr>
        <w:spacing w:line="56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威海市农机发展中心事迹材料</w:t>
      </w:r>
    </w:p>
    <w:p>
      <w:pPr>
        <w:pStyle w:val="2"/>
        <w:spacing w:line="560" w:lineRule="exact"/>
        <w:ind w:firstLine="640"/>
        <w:rPr>
          <w:rFonts w:ascii="宋体" w:hAnsi="宋体"/>
          <w:sz w:val="32"/>
          <w:szCs w:val="32"/>
        </w:rPr>
      </w:pPr>
    </w:p>
    <w:p>
      <w:pPr>
        <w:spacing w:line="560" w:lineRule="exact"/>
        <w:ind w:firstLine="640" w:firstLineChars="200"/>
        <w:rPr>
          <w:rFonts w:ascii="宋体" w:hAnsi="宋体"/>
        </w:rPr>
      </w:pPr>
      <w:r>
        <w:rPr>
          <w:rFonts w:hint="eastAsia" w:ascii="宋体" w:hAnsi="宋体" w:eastAsia="仿宋_GB2312" w:cs="Times New Roman"/>
          <w:color w:val="000000"/>
          <w:sz w:val="32"/>
          <w:szCs w:val="32"/>
        </w:rPr>
        <w:t>近年来，威海市农机发展中心认真落实市委市政府工作要求，以“大力推进农业机械化、智能化”为核心使命，聚焦农机新质生产力培育，在政策赋能、农时保障、安全监管三大领域精准发力，为全市农业高质量发展筑牢农机支撑屏障。截至目前，全市农作物耕种收综合机械化率高达93.26%，先后荣获“山东省‘两全两高’农业机械化示范市”“全省‘平安农机’示范单位”“2024年度市属事业单位考核优秀单位”等多项荣誉，用实干实绩书写了威海农机事业发展的新篇章。</w:t>
      </w:r>
    </w:p>
    <w:p>
      <w:pPr>
        <w:spacing w:line="560" w:lineRule="exact"/>
        <w:ind w:firstLine="640" w:firstLineChars="200"/>
        <w:rPr>
          <w:rFonts w:ascii="宋体" w:hAnsi="宋体" w:eastAsia="仿宋_GB2312" w:cs="Times New Roman"/>
          <w:color w:val="000000"/>
          <w:sz w:val="32"/>
          <w:szCs w:val="32"/>
        </w:rPr>
      </w:pPr>
      <w:r>
        <w:rPr>
          <w:rFonts w:hint="eastAsia" w:ascii="宋体" w:hAnsi="宋体" w:eastAsia="黑体" w:cs="黑体"/>
          <w:color w:val="000000"/>
          <w:sz w:val="32"/>
          <w:szCs w:val="32"/>
        </w:rPr>
        <w:t>一、以政策为翼，驱动农机装备与技术迭代升级。</w:t>
      </w:r>
      <w:r>
        <w:rPr>
          <w:rFonts w:hint="eastAsia" w:ascii="宋体" w:hAnsi="宋体" w:eastAsia="仿宋_GB2312" w:cs="Times New Roman"/>
          <w:color w:val="000000"/>
          <w:sz w:val="32"/>
          <w:szCs w:val="32"/>
        </w:rPr>
        <w:t>中心始终将政策落地见效作为推动农机化发展的“总抓手”，通过示范推广、补贴激励、报废更新三重举措，加速先进农机装备与农业技术的普及应用，持续优化农机装备结构，全面提升农业生产的机械化、智能化、绿色化水平。</w:t>
      </w:r>
      <w:r>
        <w:rPr>
          <w:rFonts w:hint="eastAsia" w:ascii="宋体" w:hAnsi="宋体" w:eastAsia="楷体_GB2312" w:cs="楷体_GB2312"/>
          <w:color w:val="000000"/>
          <w:sz w:val="32"/>
          <w:szCs w:val="32"/>
        </w:rPr>
        <w:t>一是聚焦特色产业，开展精准示范推广。</w:t>
      </w:r>
      <w:r>
        <w:rPr>
          <w:rFonts w:hint="eastAsia" w:ascii="宋体" w:hAnsi="宋体" w:eastAsia="仿宋_GB2312" w:cs="Times New Roman"/>
          <w:color w:val="000000"/>
          <w:sz w:val="32"/>
          <w:szCs w:val="32"/>
        </w:rPr>
        <w:t>围绕小麦、玉米等主粮作物和苹果、大姜、西洋参等威海特色经济作物，精心组织开展13场农机现场演示推广活动，集中展示小麦精量播种、花生玉米联合收获、苹果智慧化作业及各类高效耕整地机具，让农户直观感受先进农机的作业优势，为粮食提单产、稳总产提供了有力技术支撑，也为经济作物提质增效开辟了新路径。</w:t>
      </w:r>
      <w:r>
        <w:rPr>
          <w:rFonts w:hint="eastAsia" w:ascii="宋体" w:hAnsi="宋体" w:eastAsia="楷体_GB2312" w:cs="楷体_GB2312"/>
          <w:color w:val="000000"/>
          <w:sz w:val="32"/>
          <w:szCs w:val="32"/>
        </w:rPr>
        <w:t>二是抓实补贴红利，激发主体投入活力。</w:t>
      </w:r>
      <w:r>
        <w:rPr>
          <w:rFonts w:hint="eastAsia" w:ascii="宋体" w:hAnsi="宋体" w:eastAsia="仿宋_GB2312" w:cs="Times New Roman"/>
          <w:color w:val="000000"/>
          <w:sz w:val="32"/>
          <w:szCs w:val="32"/>
        </w:rPr>
        <w:t>精准落实农机购置补贴政策，2024年以来累计争取上级补贴资金4188万元，高效完成5148台新机具补贴发放工作，直接惠及3365户农户，带动农民自主投入1.7亿元。政策杠杆效应持续释放，全市农机装备结构显著优化，新增100马力以上大型拖拉机180台、农用无人机136台，粮食日烘干能力由1.36万吨提升至1.8万吨，增幅达32%，农业生产“机器换人”步伐全面加快。</w:t>
      </w:r>
      <w:r>
        <w:rPr>
          <w:rFonts w:hint="eastAsia" w:ascii="宋体" w:hAnsi="宋体" w:eastAsia="楷体_GB2312" w:cs="楷体_GB2312"/>
          <w:color w:val="000000"/>
          <w:sz w:val="32"/>
          <w:szCs w:val="32"/>
        </w:rPr>
        <w:t>三是优化报废流程，加速装备更新换代。</w:t>
      </w:r>
      <w:r>
        <w:rPr>
          <w:rFonts w:hint="eastAsia" w:ascii="宋体" w:hAnsi="宋体" w:eastAsia="仿宋_GB2312" w:cs="Times New Roman"/>
          <w:color w:val="000000"/>
          <w:sz w:val="32"/>
          <w:szCs w:val="32"/>
        </w:rPr>
        <w:t>以“便民高效”为原则，创新推行“定点回收、审核前置”工作模式，组织工作人员上门服务，大幅简化农机报废更新办理流程。截止目前，已分12批次为农户结算报废补贴资金7037.9万元，涉及报废机具4.6万台套，惠及农户3.9万户。2024年全省农机化管理干部能力提升培训班在威海举办，组织观摩了我市农机报废更新工作现场。</w:t>
      </w:r>
    </w:p>
    <w:p>
      <w:pPr>
        <w:spacing w:line="560" w:lineRule="exact"/>
        <w:ind w:firstLine="640" w:firstLineChars="200"/>
        <w:rPr>
          <w:rFonts w:ascii="宋体" w:hAnsi="宋体" w:eastAsia="仿宋_GB2312" w:cs="Times New Roman"/>
          <w:color w:val="000000"/>
          <w:sz w:val="32"/>
          <w:szCs w:val="32"/>
        </w:rPr>
      </w:pPr>
      <w:r>
        <w:rPr>
          <w:rFonts w:hint="eastAsia" w:ascii="宋体" w:hAnsi="宋体" w:eastAsia="黑体" w:cs="黑体"/>
          <w:color w:val="000000"/>
          <w:sz w:val="32"/>
          <w:szCs w:val="32"/>
        </w:rPr>
        <w:t>二、以丰收为要，筑牢关键农时农机保障防线。</w:t>
      </w:r>
      <w:r>
        <w:rPr>
          <w:rFonts w:hint="eastAsia" w:ascii="宋体" w:hAnsi="宋体" w:eastAsia="仿宋_GB2312" w:cs="Times New Roman"/>
          <w:color w:val="000000"/>
          <w:sz w:val="32"/>
          <w:szCs w:val="32"/>
        </w:rPr>
        <w:t>围绕“抢农时、保丰收”核心目标，中心建立“提前部署、动态调度、精准服务”工作机制，在“三夏”“三秋”等关键农时节点全力以赴，确保粮食生产全程有序高效，牢牢守住粮食安全底线。</w:t>
      </w:r>
      <w:r>
        <w:rPr>
          <w:rFonts w:hint="eastAsia" w:ascii="宋体" w:hAnsi="宋体" w:eastAsia="楷体_GB2312" w:cs="楷体_GB2312"/>
          <w:color w:val="000000"/>
          <w:sz w:val="32"/>
          <w:szCs w:val="32"/>
        </w:rPr>
        <w:t>一是精准护航“三夏”生产。</w:t>
      </w:r>
      <w:r>
        <w:rPr>
          <w:rFonts w:hint="eastAsia" w:ascii="宋体" w:hAnsi="宋体" w:eastAsia="仿宋_GB2312" w:cs="Times New Roman"/>
          <w:color w:val="000000"/>
          <w:sz w:val="32"/>
          <w:szCs w:val="32"/>
        </w:rPr>
        <w:t>依托拖拉机、联合收割机年审契机，组织技术骨干开展“送检上门”服务，对参与夏收的3.3万台（套）农机具进行全面检修调试，确保机具“健康上岗”。主动对接周边省市跨区作业服务组织，根据我市夏收需求精准调度2000余台联合收割机驰援威海。联合公安、交通、气象等部门开通农机“绿色通道”，在高速路口、国道沿线设立11个跨区作业服务站，提供机械维修、作业咨询、气象预警等“一站式”服务，对持有跨区作业证的联合收割机实行优先免费放行，全力保障夏收“颗粒归仓”。</w:t>
      </w:r>
      <w:r>
        <w:rPr>
          <w:rFonts w:hint="eastAsia" w:ascii="宋体" w:hAnsi="宋体" w:eastAsia="楷体_GB2312" w:cs="楷体_GB2312"/>
          <w:color w:val="000000"/>
          <w:sz w:val="32"/>
          <w:szCs w:val="32"/>
        </w:rPr>
        <w:t>二是全力推进“三秋”抢收。</w:t>
      </w:r>
      <w:r>
        <w:rPr>
          <w:rFonts w:hint="eastAsia" w:ascii="宋体" w:hAnsi="宋体" w:eastAsia="仿宋_GB2312" w:cs="Times New Roman"/>
          <w:color w:val="000000"/>
          <w:sz w:val="32"/>
          <w:szCs w:val="32"/>
        </w:rPr>
        <w:t>科学统筹农机作业力量，投入玉米收获机1800余台（其中履带式玉米收获机近500台，省外跨区作业履带式收获机近200台），形成秋粮抢收强大合力。将省、市财政下达的300万元抢收抢烘专项资金第一时间拨付至经营主体，保障作业需求。全市98个烘干点、147台烘干设备满负荷连续作业，确保秋粮及时烘干入库，有效规避阴雨天气带来的损失。开通农机服务热线，实时解答农机手各类疑问，累计接听咨询电话80余个，协调解决农机供需对接不畅等问题100余个，实现农机服务“点对点”精准响应。</w:t>
      </w:r>
      <w:r>
        <w:rPr>
          <w:rFonts w:hint="eastAsia" w:ascii="宋体" w:hAnsi="宋体" w:eastAsia="楷体_GB2312" w:cs="楷体_GB2312"/>
          <w:color w:val="000000"/>
          <w:sz w:val="32"/>
          <w:szCs w:val="32"/>
        </w:rPr>
        <w:t>三是聚焦机收减损提质。</w:t>
      </w:r>
      <w:r>
        <w:rPr>
          <w:rFonts w:hint="eastAsia" w:ascii="宋体" w:hAnsi="宋体" w:eastAsia="仿宋_GB2312" w:cs="Times New Roman"/>
          <w:color w:val="000000"/>
          <w:sz w:val="32"/>
          <w:szCs w:val="32"/>
        </w:rPr>
        <w:t>把机收减损作为“隐性增产”的重要举措，在“三夏”“三秋”期间组织各区市开展机收减损专题演示活动，现场演示低茬收割、籽粒回收等减损技术，累计培训农机手320余人。在全市设置23个机收损失率监测点，实时跟踪作业质量。</w:t>
      </w:r>
      <w:r>
        <w:rPr>
          <w:rFonts w:hint="eastAsia" w:ascii="宋体" w:hAnsi="宋体" w:eastAsia="仿宋_GB2312" w:cs="Times New Roman"/>
          <w:sz w:val="32"/>
          <w:szCs w:val="32"/>
        </w:rPr>
        <w:t>经测算，2025年全市玉米机收损失率降至1.6%，较2024年降低0.02%，以精细化管理实现了“颗粒归仓”。</w:t>
      </w:r>
    </w:p>
    <w:p>
      <w:pPr>
        <w:spacing w:line="560" w:lineRule="exact"/>
        <w:ind w:firstLine="640" w:firstLineChars="200"/>
        <w:rPr>
          <w:rFonts w:ascii="宋体" w:hAnsi="宋体" w:eastAsia="仿宋_GB2312" w:cs="Times New Roman"/>
          <w:color w:val="000000"/>
          <w:sz w:val="32"/>
          <w:szCs w:val="32"/>
        </w:rPr>
      </w:pPr>
      <w:r>
        <w:rPr>
          <w:rFonts w:hint="eastAsia" w:ascii="宋体" w:hAnsi="宋体" w:eastAsia="黑体" w:cs="黑体"/>
          <w:color w:val="000000"/>
          <w:sz w:val="32"/>
          <w:szCs w:val="32"/>
        </w:rPr>
        <w:t>三、以安全为基，构建精细化监管与服务体系。</w:t>
      </w:r>
      <w:r>
        <w:rPr>
          <w:rFonts w:hint="eastAsia" w:ascii="宋体" w:hAnsi="宋体" w:eastAsia="仿宋_GB2312" w:cs="Times New Roman"/>
          <w:color w:val="000000"/>
          <w:sz w:val="32"/>
          <w:szCs w:val="32"/>
        </w:rPr>
        <w:t>坚持“安全第一、预防为主、综合治理”方针，通过压实监管责任、优化服务流程、强化联合执法，构建“服务+监管”双轮驱动的农机安全生产新格局，为农机作业保驾护航。</w:t>
      </w:r>
      <w:r>
        <w:rPr>
          <w:rFonts w:hint="eastAsia" w:ascii="宋体" w:hAnsi="宋体" w:eastAsia="楷体_GB2312" w:cs="楷体_GB2312"/>
          <w:color w:val="000000"/>
          <w:sz w:val="32"/>
          <w:szCs w:val="32"/>
        </w:rPr>
        <w:t>一是强化监理服务全覆盖。</w:t>
      </w:r>
      <w:r>
        <w:rPr>
          <w:rFonts w:hint="eastAsia" w:ascii="宋体" w:hAnsi="宋体" w:eastAsia="仿宋_GB2312" w:cs="Times New Roman"/>
          <w:color w:val="000000"/>
          <w:sz w:val="32"/>
          <w:szCs w:val="32"/>
        </w:rPr>
        <w:t>扎实开展拖拉机、联合收割机注册登记、年度检验及驾驶证办理等核心业务，2024年全年新登记拖拉机、联合收割机463台，组织2轮巡回年检，完成1834台农机具检验工作，办理拖拉机驾驶证580个。</w:t>
      </w:r>
      <w:r>
        <w:rPr>
          <w:rFonts w:hint="eastAsia" w:ascii="宋体" w:hAnsi="宋体" w:eastAsia="楷体_GB2312" w:cs="楷体_GB2312"/>
          <w:color w:val="000000"/>
          <w:sz w:val="32"/>
          <w:szCs w:val="32"/>
        </w:rPr>
        <w:t>二是推行“农机上牌一件事”改革。</w:t>
      </w:r>
      <w:r>
        <w:rPr>
          <w:rFonts w:hint="eastAsia" w:ascii="宋体" w:hAnsi="宋体" w:eastAsia="仿宋_GB2312" w:cs="Times New Roman"/>
          <w:color w:val="000000"/>
          <w:sz w:val="32"/>
          <w:szCs w:val="32"/>
        </w:rPr>
        <w:t>打破业务壁垒，将农机上牌、考证、补贴申领、跨区作业证办理4项高频业务整合至农机业务办理大厅“一窗通办”，实现“进一扇门、办所有事”。通过流程再造，办理周期从27个工作日压缩至7个，申请材料从14项精简至9项，同时为有需求的群众和企业提供上门审验、牌照安装、驾驶员考试等“一条龙”服务，切实提升了群众办事获得感。</w:t>
      </w:r>
      <w:r>
        <w:rPr>
          <w:rFonts w:hint="eastAsia" w:ascii="宋体" w:hAnsi="宋体" w:eastAsia="楷体_GB2312" w:cs="楷体_GB2312"/>
          <w:color w:val="000000"/>
          <w:sz w:val="32"/>
          <w:szCs w:val="32"/>
        </w:rPr>
        <w:t>三是深化安全协同治理。</w:t>
      </w:r>
      <w:r>
        <w:rPr>
          <w:rFonts w:hint="eastAsia" w:ascii="宋体" w:hAnsi="宋体" w:eastAsia="仿宋_GB2312" w:cs="Times New Roman"/>
          <w:color w:val="000000"/>
          <w:sz w:val="32"/>
          <w:szCs w:val="32"/>
        </w:rPr>
        <w:t>联合市交警支队、农业综合执法支队召开4次农机安全生产专业委员会联席会议，精准研判春耕备播、“三夏”“三秋”及节假日等关键时段农机安全生产形势，建立信息共享、联合处置工作机制。全年开展农机安全联合执法88次，查处违法违规农机250余台，纠正不安全作业行为60余起，为700余台农机粘贴反光贴，有效消除了安全隐患。威海市农机安全管理的创新做法，在全省农机安全监管工作会议上作典型经验交流，为全省农机安全工作提供了“威海样板”。</w:t>
      </w:r>
    </w:p>
    <w:p>
      <w:pPr>
        <w:pStyle w:val="13"/>
        <w:keepNext w:val="0"/>
        <w:keepLines w:val="0"/>
        <w:pageBreakBefore w:val="0"/>
        <w:widowControl w:val="0"/>
        <w:kinsoku/>
        <w:wordWrap/>
        <w:overflowPunct/>
        <w:topLinePunct w:val="0"/>
        <w:autoSpaceDE/>
        <w:autoSpaceDN/>
        <w:bidi w:val="0"/>
        <w:adjustRightInd/>
        <w:spacing w:after="0" w:line="560" w:lineRule="exact"/>
        <w:ind w:left="0" w:left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textAlignment w:val="auto"/>
        <w:rPr>
          <w:rFonts w:ascii="宋体" w:hAnsi="宋体"/>
        </w:rPr>
      </w:pPr>
    </w:p>
    <w:p>
      <w:pPr>
        <w:spacing w:line="560" w:lineRule="exact"/>
        <w:jc w:val="center"/>
        <w:rPr>
          <w:rFonts w:hint="eastAsia" w:ascii="Times New Roman" w:hAnsi="Times New Roman" w:eastAsia="方正小标宋简体" w:cs="方正小标宋简体"/>
          <w:sz w:val="44"/>
          <w:szCs w:val="44"/>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荣成市农业农村局事迹材料</w:t>
      </w:r>
    </w:p>
    <w:p>
      <w:pPr>
        <w:spacing w:line="560" w:lineRule="exact"/>
        <w:jc w:val="center"/>
        <w:rPr>
          <w:rFonts w:ascii="方正小标宋简体" w:hAnsi="方正小标宋简体" w:eastAsia="方正小标宋简体" w:cs="方正小标宋简体"/>
          <w:sz w:val="44"/>
          <w:szCs w:val="44"/>
        </w:rPr>
      </w:pPr>
    </w:p>
    <w:p>
      <w:pPr>
        <w:spacing w:line="560"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荣成市农业农村局紧扣农业强省建设目标，立足区域资源禀赋，聚焦粮食安全、绿色发展、产业振兴等重点任务，真抓实干、锐意进取，扎实推进农业高质量发展，为农业强省建设贡献“荣成经验”。</w:t>
      </w:r>
    </w:p>
    <w:p>
      <w:pPr>
        <w:spacing w:line="560" w:lineRule="exact"/>
        <w:ind w:firstLine="640" w:firstLineChars="200"/>
        <w:rPr>
          <w:rFonts w:ascii="宋体" w:hAnsi="宋体" w:eastAsia="仿宋_GB2312" w:cs="仿宋_GB2312"/>
          <w:sz w:val="32"/>
          <w:szCs w:val="32"/>
        </w:rPr>
      </w:pPr>
      <w:r>
        <w:rPr>
          <w:rFonts w:hint="eastAsia" w:ascii="黑体" w:hAnsi="黑体" w:eastAsia="黑体" w:cs="黑体"/>
          <w:sz w:val="32"/>
          <w:szCs w:val="32"/>
        </w:rPr>
        <w:t>一、坚决守住粮食安全底线，促进粮食生产提质增效。</w:t>
      </w:r>
      <w:r>
        <w:rPr>
          <w:rFonts w:hint="eastAsia" w:ascii="宋体" w:hAnsi="宋体" w:eastAsia="仿宋_GB2312" w:cs="仿宋_GB2312"/>
          <w:sz w:val="32"/>
          <w:szCs w:val="32"/>
        </w:rPr>
        <w:t>把粮食生产作为“三农”工作首要任务，统筹推进“地、种、技、收”协同发力，粮食播种面积、产量分别稳定在56万亩、22.6万吨以上。</w:t>
      </w:r>
      <w:r>
        <w:rPr>
          <w:rFonts w:hint="eastAsia" w:ascii="楷体_GB2312" w:hAnsi="楷体_GB2312" w:eastAsia="楷体_GB2312" w:cs="楷体_GB2312"/>
          <w:sz w:val="32"/>
          <w:szCs w:val="32"/>
        </w:rPr>
        <w:t>一是扎实推进高标准农田建设。</w:t>
      </w:r>
      <w:r>
        <w:rPr>
          <w:rFonts w:hint="eastAsia" w:ascii="宋体" w:hAnsi="宋体" w:eastAsia="仿宋_GB2312" w:cs="仿宋_GB2312"/>
          <w:sz w:val="32"/>
          <w:szCs w:val="32"/>
        </w:rPr>
        <w:t>成功申报2025年新建高标准农田建设项目5万亩；坚持建管并重，制定高标准农田建设项目工程运行管护办法，对51万亩已建成项目开展专项检查整改，确保高标准农田设施能用管用好用。</w:t>
      </w:r>
      <w:r>
        <w:rPr>
          <w:rFonts w:hint="eastAsia" w:ascii="楷体_GB2312" w:hAnsi="楷体_GB2312" w:eastAsia="楷体_GB2312" w:cs="楷体_GB2312"/>
          <w:sz w:val="32"/>
          <w:szCs w:val="32"/>
        </w:rPr>
        <w:t>二是创新规模种粮模式。</w:t>
      </w:r>
      <w:r>
        <w:rPr>
          <w:rFonts w:hint="eastAsia" w:ascii="宋体" w:hAnsi="宋体" w:eastAsia="仿宋_GB2312" w:cs="仿宋_GB2312"/>
          <w:sz w:val="32"/>
          <w:szCs w:val="32"/>
        </w:rPr>
        <w:t>构建“集体经营为主导、社会资本为支撑”的现代农业经营体系，引进黑龙江鲁庆隆丰、河南豫鲁荣丰等专业化农业企业，形成“资本+技术+市场”深度参与的新格局，全市100亩以上规模种粮主体达511家，种植面积19.32万亩，占粮食总面积50%以上。</w:t>
      </w:r>
      <w:r>
        <w:rPr>
          <w:rFonts w:hint="eastAsia" w:ascii="楷体_GB2312" w:hAnsi="楷体_GB2312" w:eastAsia="楷体_GB2312" w:cs="楷体_GB2312"/>
          <w:sz w:val="32"/>
          <w:szCs w:val="32"/>
        </w:rPr>
        <w:t>三是实施粮食产能提升行动。</w:t>
      </w:r>
      <w:r>
        <w:rPr>
          <w:rFonts w:hint="eastAsia" w:ascii="宋体" w:hAnsi="宋体" w:eastAsia="仿宋_GB2312" w:cs="仿宋_GB2312"/>
          <w:sz w:val="32"/>
          <w:szCs w:val="32"/>
        </w:rPr>
        <w:t>整合基层农技推广、粮油单产提升等项目，创建市级、县级单产提升引领区各2个，建成7000亩省级大面积单产提升核心区和2个市级万亩高产示范片，产量分别高于全市25%、20%、10%以上。</w:t>
      </w:r>
      <w:r>
        <w:rPr>
          <w:rFonts w:hint="eastAsia" w:ascii="楷体_GB2312" w:hAnsi="楷体_GB2312" w:eastAsia="楷体_GB2312" w:cs="楷体_GB2312"/>
          <w:sz w:val="32"/>
          <w:szCs w:val="32"/>
        </w:rPr>
        <w:t>四是强化机收减损与产后服务。</w:t>
      </w:r>
      <w:r>
        <w:rPr>
          <w:rFonts w:hint="eastAsia" w:ascii="宋体" w:hAnsi="宋体" w:eastAsia="仿宋_GB2312" w:cs="仿宋_GB2312"/>
          <w:sz w:val="32"/>
          <w:szCs w:val="32"/>
        </w:rPr>
        <w:t>优化烘干设施布局，建成粮食烘干场所34处，日烘干能力8335吨，配套仓储能力16.8万吨，构建“收烘储”一体化体系，在今年“三秋”连续阴雨天气中有效保障了秋粮抢收抢烘抢储。</w:t>
      </w:r>
    </w:p>
    <w:p>
      <w:pPr>
        <w:spacing w:line="560" w:lineRule="exact"/>
        <w:ind w:firstLine="640" w:firstLineChars="200"/>
        <w:rPr>
          <w:rFonts w:ascii="宋体" w:hAnsi="宋体" w:eastAsia="仿宋_GB2312" w:cs="仿宋_GB2312"/>
          <w:sz w:val="32"/>
          <w:szCs w:val="32"/>
        </w:rPr>
      </w:pPr>
      <w:r>
        <w:rPr>
          <w:rFonts w:hint="eastAsia" w:ascii="黑体" w:hAnsi="黑体" w:eastAsia="黑体" w:cs="黑体"/>
          <w:sz w:val="32"/>
          <w:szCs w:val="32"/>
        </w:rPr>
        <w:t>二、推进农业数字化赋能，加快农业发展全面绿色转型。</w:t>
      </w:r>
      <w:r>
        <w:rPr>
          <w:rFonts w:hint="eastAsia" w:ascii="宋体" w:hAnsi="宋体" w:eastAsia="仿宋_GB2312" w:cs="仿宋_GB2312"/>
          <w:sz w:val="32"/>
          <w:szCs w:val="32"/>
        </w:rPr>
        <w:t>坚持陆海统筹，构建“数智赋能+蓝碳助力+循环共生”的绿色发展体系，实现生产提效与生态增值双赢，获评全省农业绿色发展先行县，相关经验入选全国农业绿色发展典型案例。</w:t>
      </w:r>
      <w:r>
        <w:rPr>
          <w:rFonts w:hint="eastAsia" w:ascii="楷体_GB2312" w:hAnsi="楷体_GB2312" w:eastAsia="楷体_GB2312" w:cs="楷体_GB2312"/>
          <w:sz w:val="32"/>
          <w:szCs w:val="32"/>
        </w:rPr>
        <w:t>一是实施智慧农业“先锋”工程。</w:t>
      </w:r>
      <w:r>
        <w:rPr>
          <w:rFonts w:hint="eastAsia" w:ascii="宋体" w:hAnsi="宋体" w:eastAsia="仿宋_GB2312" w:cs="仿宋_GB2312"/>
          <w:sz w:val="32"/>
          <w:szCs w:val="32"/>
        </w:rPr>
        <w:t>印发数字荣成建设行动、农业产业数字化融合提升工作方案，推进百亩樱桃、千亩花生、万亩苹果、万亩鲍鱼数字化种养试点，创建17家省级智慧农业应用基地，实现亩均节本30%、增产20%、综合增效30%；启动“机器换人”试点，建成6处“智慧化”分拣示范基地，总分拣能力4.5万吨，分选效率提升50倍，带动苹果增值溢价15%，入选全省首批县域数字农业发展县。</w:t>
      </w:r>
      <w:r>
        <w:rPr>
          <w:rFonts w:hint="eastAsia" w:ascii="楷体_GB2312" w:hAnsi="楷体_GB2312" w:eastAsia="楷体_GB2312" w:cs="楷体_GB2312"/>
          <w:sz w:val="32"/>
          <w:szCs w:val="32"/>
        </w:rPr>
        <w:t>二是全面推广标准化种植。</w:t>
      </w:r>
      <w:r>
        <w:rPr>
          <w:rFonts w:hint="eastAsia" w:ascii="宋体" w:hAnsi="宋体" w:eastAsia="仿宋_GB2312" w:cs="仿宋_GB2312"/>
          <w:sz w:val="32"/>
          <w:szCs w:val="32"/>
        </w:rPr>
        <w:t>印发种植业布局调整规划、苹果全环节技术规范等指导性文件，启动规模种粮标准化生产、万亩低效老旧果园改造提升等工程，建成标准化现代果园90个，现代苹果种植面积占比达60%，居全国苹果主产县市首位。</w:t>
      </w:r>
      <w:r>
        <w:rPr>
          <w:rFonts w:hint="eastAsia" w:ascii="楷体_GB2312" w:hAnsi="楷体_GB2312" w:eastAsia="楷体_GB2312" w:cs="楷体_GB2312"/>
          <w:sz w:val="32"/>
          <w:szCs w:val="32"/>
        </w:rPr>
        <w:t>三是严控农业面源污染。</w:t>
      </w:r>
      <w:r>
        <w:rPr>
          <w:rFonts w:hint="eastAsia" w:ascii="宋体" w:hAnsi="宋体" w:eastAsia="仿宋_GB2312" w:cs="仿宋_GB2312"/>
          <w:sz w:val="32"/>
          <w:szCs w:val="32"/>
        </w:rPr>
        <w:t>统筹推进化肥农药减量增效，入选全国酸化耕地治理重点县，建设8万亩耕地酸化治理示范区；建成千亩绿色防控集成示范基地，辐射10万亩，绿色防控覆盖率达57%，主粮作物统防统治覆盖率达69%，获评全国农作物病虫害专业化统防统治百强县。</w:t>
      </w:r>
    </w:p>
    <w:p>
      <w:pPr>
        <w:spacing w:line="560" w:lineRule="exact"/>
        <w:ind w:firstLine="640" w:firstLineChars="200"/>
        <w:rPr>
          <w:rFonts w:ascii="宋体" w:hAnsi="宋体" w:eastAsia="仿宋_GB2312" w:cs="仿宋_GB2312"/>
          <w:sz w:val="30"/>
          <w:szCs w:val="30"/>
        </w:rPr>
      </w:pPr>
      <w:r>
        <w:rPr>
          <w:rFonts w:hint="eastAsia" w:ascii="黑体" w:hAnsi="黑体" w:eastAsia="黑体" w:cs="黑体"/>
          <w:sz w:val="32"/>
          <w:szCs w:val="32"/>
        </w:rPr>
        <w:t>三、聚焦特色产业高质量发展，加快推动区域块状经济发展。</w:t>
      </w:r>
      <w:r>
        <w:rPr>
          <w:rFonts w:hint="eastAsia" w:ascii="宋体" w:hAnsi="宋体" w:eastAsia="仿宋_GB2312" w:cs="仿宋_GB2312"/>
          <w:sz w:val="32"/>
          <w:szCs w:val="32"/>
        </w:rPr>
        <w:t>坚持以特色产业为引领、块状经济为路径、富民强村为目标，打造全省乡村振兴示范样板，入选全国乡村振兴示范县。</w:t>
      </w:r>
      <w:r>
        <w:rPr>
          <w:rFonts w:hint="eastAsia" w:ascii="楷体_GB2312" w:hAnsi="楷体_GB2312" w:eastAsia="楷体_GB2312" w:cs="楷体_GB2312"/>
          <w:sz w:val="32"/>
          <w:szCs w:val="32"/>
        </w:rPr>
        <w:t>一是做强特色产业集群。</w:t>
      </w:r>
      <w:r>
        <w:rPr>
          <w:rFonts w:hint="eastAsia" w:ascii="宋体" w:hAnsi="宋体" w:eastAsia="仿宋_GB2312" w:cs="仿宋_GB2312"/>
          <w:sz w:val="32"/>
          <w:szCs w:val="32"/>
        </w:rPr>
        <w:t>重点打造苹果、无花果、甘薯、花生四大特色产业片区，推行“引领区—提升区—拓展区”梯次培育模式，分类施策、精准提升；同步发展草莓、蓝莓等新兴特色农业，加快构建“4+X”特色农业新格局，获评全省现代农业强县。</w:t>
      </w:r>
      <w:r>
        <w:rPr>
          <w:rFonts w:hint="eastAsia" w:ascii="楷体_GB2312" w:hAnsi="楷体_GB2312" w:eastAsia="楷体_GB2312" w:cs="楷体_GB2312"/>
          <w:sz w:val="32"/>
          <w:szCs w:val="32"/>
        </w:rPr>
        <w:t>二是高标准推进重点项目。</w:t>
      </w:r>
      <w:r>
        <w:rPr>
          <w:rFonts w:hint="eastAsia" w:ascii="宋体" w:hAnsi="宋体" w:eastAsia="仿宋_GB2312" w:cs="仿宋_GB2312"/>
          <w:sz w:val="32"/>
          <w:szCs w:val="32"/>
        </w:rPr>
        <w:t>聚焦现代农业、农产品加工、乡村文旅等领域，实施大渥农业千亩苹果、珍好苹果果肉加工等38个威海市级乡村振兴重点项目，推动产业集聚成链，荣获全省现代农业强县、全省农产品加工业高质量发展先行县等称号。</w:t>
      </w:r>
      <w:r>
        <w:rPr>
          <w:rFonts w:hint="eastAsia" w:ascii="楷体_GB2312" w:hAnsi="楷体_GB2312" w:eastAsia="楷体_GB2312" w:cs="楷体_GB2312"/>
          <w:sz w:val="32"/>
          <w:szCs w:val="32"/>
        </w:rPr>
        <w:t>三是建优乡村振兴样板片区。</w:t>
      </w:r>
      <w:r>
        <w:rPr>
          <w:rFonts w:hint="eastAsia" w:ascii="宋体" w:hAnsi="宋体" w:eastAsia="仿宋_GB2312" w:cs="仿宋_GB2312"/>
          <w:sz w:val="32"/>
          <w:szCs w:val="32"/>
        </w:rPr>
        <w:t>建成省市县镇四级样板片区31个，覆盖超50%行政村，其中省级示范片区（衔接区）4个、威海市级精致片区2个，形成“北部滨海康养、中部现代农业、南部渔家风情”三大组团发展格局，获评全省乡村振兴齐鲁样板示范区督查激励县。</w:t>
      </w: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spacing w:line="56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乳山市农村经济管理服务站事迹材料</w:t>
      </w:r>
    </w:p>
    <w:p>
      <w:pPr>
        <w:spacing w:line="560" w:lineRule="exact"/>
        <w:ind w:firstLine="640" w:firstLineChars="200"/>
        <w:rPr>
          <w:rFonts w:ascii="宋体" w:hAnsi="宋体" w:eastAsia="仿宋_GB2312" w:cs="仿宋_GB2312"/>
          <w:sz w:val="32"/>
          <w:szCs w:val="32"/>
        </w:rPr>
      </w:pPr>
    </w:p>
    <w:p>
      <w:pPr>
        <w:spacing w:line="560"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乳山市农村经济管理服务站始终坚持以服务“三农”为宗旨，聚焦主责主业，锐意进取，开拓创新，在农村经济规范化管理、深化农村改革、助力乡村振兴等方面取得显著成效，展现了新时代农经队伍的责任担当与务实作风。</w:t>
      </w:r>
    </w:p>
    <w:p>
      <w:pPr>
        <w:spacing w:line="560" w:lineRule="exact"/>
        <w:ind w:firstLine="640" w:firstLineChars="200"/>
        <w:rPr>
          <w:rFonts w:ascii="宋体" w:hAnsi="宋体" w:eastAsia="黑体" w:cs="黑体"/>
          <w:sz w:val="32"/>
          <w:szCs w:val="32"/>
        </w:rPr>
      </w:pPr>
      <w:r>
        <w:rPr>
          <w:rFonts w:hint="eastAsia" w:ascii="宋体" w:hAnsi="宋体" w:eastAsia="黑体" w:cs="黑体"/>
          <w:sz w:val="32"/>
          <w:szCs w:val="32"/>
        </w:rPr>
        <w:t>一、勇担国家试点使命，探索改革新路径</w:t>
      </w:r>
    </w:p>
    <w:p>
      <w:pPr>
        <w:spacing w:line="560"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将承担农村改革试点任务视为荣誉与责任，扎实推进各项试点工作，为上级政策制定和实践探索提供了宝贵的“乳山经验”。</w:t>
      </w:r>
      <w:r>
        <w:rPr>
          <w:rFonts w:hint="eastAsia" w:ascii="宋体" w:hAnsi="宋体" w:eastAsia="楷体_GB2312" w:cs="楷体_GB2312"/>
          <w:sz w:val="32"/>
          <w:szCs w:val="32"/>
        </w:rPr>
        <w:t>在11部委农村产权流转交易规范化试点工作中，</w:t>
      </w:r>
      <w:r>
        <w:rPr>
          <w:rFonts w:hint="eastAsia" w:ascii="宋体" w:hAnsi="宋体" w:eastAsia="仿宋_GB2312" w:cs="仿宋_GB2312"/>
          <w:sz w:val="32"/>
          <w:szCs w:val="32"/>
        </w:rPr>
        <w:t>通过优化交易流程、强化平台建设、广泛宣传动员，有效激活了农村资源要素。今年以来，全市累计完成农村产权交易1745笔，实现交易额1.5亿元，平均溢价率13%，农村集体产权类项目进场交易线上统管率达到100%，实现了规范与效率的双提升，相关经验被省委办公厅信息调研室采用并上报中央办公厅，作为唯一县级在全国农村产权流转交易规范化建设工作座谈会上作典型交流。</w:t>
      </w:r>
      <w:r>
        <w:rPr>
          <w:rFonts w:hint="eastAsia" w:ascii="宋体" w:hAnsi="宋体" w:eastAsia="楷体_GB2312" w:cs="楷体_GB2312"/>
          <w:sz w:val="32"/>
          <w:szCs w:val="32"/>
        </w:rPr>
        <w:t>面对农村乱占耕地建房这一复杂难题，</w:t>
      </w:r>
      <w:r>
        <w:rPr>
          <w:rFonts w:hint="eastAsia" w:ascii="宋体" w:hAnsi="宋体" w:eastAsia="仿宋_GB2312" w:cs="仿宋_GB2312"/>
          <w:sz w:val="32"/>
          <w:szCs w:val="32"/>
        </w:rPr>
        <w:t>成功争取到住宅类房屋专项整治国家级试点。面对全市530个待核查的问题图斑，逐一开展补充调查，精准掌握底数。在此基础上，坚持“零容忍”态度，坚决遏制新增违法违规占用耕地建房行为，展现了维护国家粮食安全底线和土地管理秩序的坚定决心与执行力。</w:t>
      </w:r>
    </w:p>
    <w:p>
      <w:pPr>
        <w:spacing w:line="560" w:lineRule="exact"/>
        <w:ind w:firstLine="640" w:firstLineChars="200"/>
        <w:rPr>
          <w:rFonts w:ascii="宋体" w:hAnsi="宋体" w:eastAsia="黑体" w:cs="黑体"/>
          <w:sz w:val="32"/>
          <w:szCs w:val="32"/>
        </w:rPr>
      </w:pPr>
      <w:r>
        <w:rPr>
          <w:rFonts w:hint="eastAsia" w:ascii="宋体" w:hAnsi="宋体" w:eastAsia="黑体" w:cs="黑体"/>
          <w:sz w:val="32"/>
          <w:szCs w:val="32"/>
        </w:rPr>
        <w:t>二、深耕“两块地”管理，夯实乡村发展根基</w:t>
      </w:r>
    </w:p>
    <w:p>
      <w:pPr>
        <w:spacing w:line="560"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紧紧抓住承包地和宅基地这“两块地”的管理，规范管理秩序，释放改革红利。</w:t>
      </w:r>
      <w:r>
        <w:rPr>
          <w:rFonts w:hint="eastAsia" w:ascii="宋体" w:hAnsi="宋体" w:eastAsia="楷体_GB2312" w:cs="楷体_GB2312"/>
          <w:sz w:val="32"/>
          <w:szCs w:val="32"/>
        </w:rPr>
        <w:t>在承包地管理方面，</w:t>
      </w:r>
      <w:r>
        <w:rPr>
          <w:rFonts w:hint="eastAsia" w:ascii="宋体" w:hAnsi="宋体" w:eastAsia="仿宋_GB2312" w:cs="仿宋_GB2312"/>
          <w:sz w:val="32"/>
          <w:szCs w:val="32"/>
        </w:rPr>
        <w:t>针对地块细碎化制约现代农业发展的瓶颈，市经管站持续探索，大胆实践。今年新增33个试点村，使试点总数达到80个，累计整合细碎土地30676亩，增加了有效耕地面积1775.21亩，更通过规模化经营、提高土地利用效率，为村集体和农民年增收1057万元，央视《中国三农报道》《朝闻天下》等栏目进行了专题报道。</w:t>
      </w:r>
      <w:r>
        <w:rPr>
          <w:rFonts w:hint="eastAsia" w:ascii="宋体" w:hAnsi="宋体" w:eastAsia="楷体_GB2312" w:cs="楷体_GB2312"/>
          <w:sz w:val="32"/>
          <w:szCs w:val="32"/>
        </w:rPr>
        <w:t>在宅基地管理方面，</w:t>
      </w:r>
      <w:r>
        <w:rPr>
          <w:rFonts w:hint="eastAsia" w:ascii="宋体" w:hAnsi="宋体" w:eastAsia="仿宋_GB2312" w:cs="仿宋_GB2312"/>
          <w:sz w:val="32"/>
          <w:szCs w:val="32"/>
        </w:rPr>
        <w:t>坚持管理与服务并重。紧密结合本地实际，精心编印并下发《农村宅基地管理政策问答》，为基层干部提供了清晰、实用的工作指南，确保了管理行为有法可依、有章可循。同时，保持高压态势，严肃查处违法违规行为，发现并坚决拆除1起个人变相购买宅基地建设别墅和新增3处农村村民非法占地建设住宅，形成了有力震慑。</w:t>
      </w:r>
    </w:p>
    <w:p>
      <w:pPr>
        <w:spacing w:line="560" w:lineRule="exact"/>
        <w:ind w:firstLine="640" w:firstLineChars="200"/>
        <w:rPr>
          <w:rFonts w:ascii="宋体" w:hAnsi="宋体" w:eastAsia="黑体" w:cs="黑体"/>
          <w:sz w:val="32"/>
          <w:szCs w:val="32"/>
        </w:rPr>
      </w:pPr>
      <w:r>
        <w:rPr>
          <w:rFonts w:hint="eastAsia" w:ascii="宋体" w:hAnsi="宋体" w:eastAsia="黑体" w:cs="黑体"/>
          <w:sz w:val="32"/>
          <w:szCs w:val="32"/>
        </w:rPr>
        <w:t>三、强化“三资”监管效能，守护农村集体家底</w:t>
      </w:r>
    </w:p>
    <w:p>
      <w:pPr>
        <w:spacing w:line="560"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以“大抓基层”为导向，深入开展“三资”突出问题专项整治，构建起规范、透明、高效的监管新格局。</w:t>
      </w:r>
      <w:r>
        <w:rPr>
          <w:rFonts w:hint="eastAsia" w:ascii="宋体" w:hAnsi="宋体" w:eastAsia="楷体_GB2312" w:cs="楷体_GB2312"/>
          <w:sz w:val="32"/>
          <w:szCs w:val="32"/>
        </w:rPr>
        <w:t>一是创新机制，强化督导检查。</w:t>
      </w:r>
      <w:r>
        <w:rPr>
          <w:rFonts w:hint="eastAsia" w:ascii="宋体" w:hAnsi="宋体" w:eastAsia="仿宋_GB2312" w:cs="仿宋_GB2312"/>
          <w:sz w:val="32"/>
          <w:szCs w:val="32"/>
        </w:rPr>
        <w:t>探索建立“红黄绿”三色动态监管机制，对全市601个村集体经济组织实施精准化、差异化监管。今年前期历时164天，完成了对61个红牌村、300个黄牌村、240个绿牌村的全覆盖审计检查，共移交问题线索14个，发现并反馈各类问题570处。自8月份起，又对15个镇街的问题整改情况及智慧农经平台应用情况开展“回头看”，对未整改到位的问题进行通报督办，推动所有发现问题动态清零、彻底整改。同时，高质量完成全市村集体经济组织离任审计工作，为新一轮农村“两委”换届奠定了坚实基础。</w:t>
      </w:r>
      <w:r>
        <w:rPr>
          <w:rFonts w:hint="eastAsia" w:ascii="宋体" w:hAnsi="宋体" w:eastAsia="楷体_GB2312" w:cs="楷体_GB2312"/>
          <w:sz w:val="32"/>
          <w:szCs w:val="32"/>
        </w:rPr>
        <w:t>二是固本强基，提升履职能力。</w:t>
      </w:r>
      <w:r>
        <w:rPr>
          <w:rFonts w:hint="eastAsia" w:ascii="宋体" w:hAnsi="宋体" w:eastAsia="仿宋_GB2312" w:cs="仿宋_GB2312"/>
          <w:sz w:val="32"/>
          <w:szCs w:val="32"/>
        </w:rPr>
        <w:t>市经管站组织精干力量，编制了《农村集体“三资”管理实操手册》，精心绘制28项高频业务流程图，形成了直观易懂的“一事一图”标准化管理体系，极大方便了基层操作。开展提级轮训26期，累计培训镇村两级农经干部1291人次，有效提升了基层队伍的政策水平和实操能力。为确保培训效果，还组织开展了镇村经管人员“三资”管理业务考试，参训人员全员通过，充分检验和巩固了轮训成果。</w:t>
      </w:r>
      <w:r>
        <w:rPr>
          <w:rFonts w:hint="eastAsia" w:ascii="宋体" w:hAnsi="宋体" w:eastAsia="楷体_GB2312" w:cs="楷体_GB2312"/>
          <w:sz w:val="32"/>
          <w:szCs w:val="32"/>
        </w:rPr>
        <w:t>三是示范引领，扩大改革影响。</w:t>
      </w:r>
      <w:r>
        <w:rPr>
          <w:rFonts w:hint="eastAsia" w:ascii="宋体" w:hAnsi="宋体" w:eastAsia="仿宋_GB2312" w:cs="仿宋_GB2312"/>
          <w:sz w:val="32"/>
          <w:szCs w:val="32"/>
        </w:rPr>
        <w:t>乳山市在“三资”管理领域的创新实践经验先后被山东新闻联播、人民网等10余家权威媒体宣传报道，被中纪委、农业农村部、省委改革办、省委农办、威海市委等重要部门的内参、期刊采用。在中央层面开展的群众身边不正之风和腐败问题集中整治“小切口”督查中，乳山市成为山东省内唯一未反馈存在“三资”管理问题的区市。</w:t>
      </w: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p>
      <w:pPr>
        <w:spacing w:line="56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威海市临港经济技术开发区汪疃镇党委</w:t>
      </w:r>
    </w:p>
    <w:p>
      <w:pPr>
        <w:spacing w:line="560" w:lineRule="exact"/>
        <w:jc w:val="center"/>
        <w:rPr>
          <w:rFonts w:ascii="方正小标宋简体" w:hAnsi="方正小标宋简体" w:eastAsia="方正小标宋简体" w:cs="方正小标宋简体"/>
          <w:sz w:val="44"/>
          <w:szCs w:val="44"/>
          <w:lang w:eastAsia="zh-CN"/>
        </w:rPr>
      </w:pPr>
      <w:bookmarkStart w:id="0" w:name="_GoBack"/>
      <w:bookmarkEnd w:id="0"/>
      <w:r>
        <w:rPr>
          <w:rFonts w:hint="eastAsia" w:ascii="方正小标宋简体" w:hAnsi="方正小标宋简体" w:eastAsia="方正小标宋简体" w:cs="方正小标宋简体"/>
          <w:sz w:val="44"/>
          <w:szCs w:val="44"/>
          <w:lang w:eastAsia="zh-CN"/>
        </w:rPr>
        <w:t>事迹材料</w:t>
      </w:r>
    </w:p>
    <w:p>
      <w:pPr>
        <w:spacing w:line="560" w:lineRule="exact"/>
        <w:ind w:firstLine="480" w:firstLineChars="200"/>
        <w:rPr>
          <w:rFonts w:ascii="宋体" w:hAnsi="宋体" w:eastAsia="仿宋_GB2312" w:cs="仿宋_GB2312"/>
          <w:sz w:val="24"/>
          <w:szCs w:val="24"/>
          <w:lang w:eastAsia="zh-CN"/>
        </w:rPr>
      </w:pPr>
    </w:p>
    <w:p>
      <w:pPr>
        <w:widowControl w:val="0"/>
        <w:kinsoku/>
        <w:autoSpaceDE/>
        <w:autoSpaceDN/>
        <w:adjustRightInd/>
        <w:snapToGrid/>
        <w:spacing w:line="560" w:lineRule="exact"/>
        <w:ind w:firstLine="640" w:firstLineChars="200"/>
        <w:jc w:val="both"/>
        <w:textAlignment w:val="auto"/>
        <w:rPr>
          <w:rFonts w:ascii="宋体" w:hAnsi="宋体" w:eastAsia="仿宋_GB2312" w:cs="仿宋_GB2312"/>
          <w:snapToGrid/>
          <w:kern w:val="2"/>
          <w:sz w:val="32"/>
          <w:szCs w:val="32"/>
          <w:lang w:eastAsia="zh-CN"/>
        </w:rPr>
      </w:pPr>
      <w:r>
        <w:rPr>
          <w:rFonts w:hint="eastAsia" w:ascii="宋体" w:hAnsi="宋体" w:eastAsia="仿宋_GB2312" w:cs="仿宋_GB2312"/>
          <w:snapToGrid/>
          <w:kern w:val="2"/>
          <w:sz w:val="32"/>
          <w:szCs w:val="32"/>
          <w:lang w:eastAsia="zh-CN"/>
        </w:rPr>
        <w:t>近年来，临港区汪疃镇党委深入学习贯彻习近平总书记关于乡村振兴战略的重要指示精神，全面落实省委、省政府关于打造乡村振兴齐鲁样板的部署要求，深入摸排农业资源情况，探索实行以现代苹果产业为主导产业，以延链补链强链为发展路径，构建形成“苗木繁育—苹果种植—果汁加工—定制销售—科技推广—文化体验”全产业链发展体系，推动全镇农业产业结构优化升级，助力乡村全面振兴。2025年5月，汪疃镇凭借现代苹果主导产业的突出优势，成功上榜“国家级农业产业强镇”名单。</w:t>
      </w:r>
    </w:p>
    <w:p>
      <w:pPr>
        <w:pStyle w:val="11"/>
        <w:kinsoku/>
        <w:autoSpaceDE/>
        <w:autoSpaceDN/>
        <w:adjustRightInd/>
        <w:snapToGrid/>
        <w:spacing w:line="560" w:lineRule="exact"/>
        <w:ind w:firstLine="640" w:firstLineChars="200"/>
        <w:jc w:val="both"/>
        <w:textAlignment w:val="auto"/>
        <w:rPr>
          <w:rFonts w:hint="default" w:eastAsia="仿宋_GB2312" w:cs="仿宋_GB2312"/>
          <w:snapToGrid/>
          <w:kern w:val="2"/>
          <w:sz w:val="32"/>
          <w:szCs w:val="32"/>
        </w:rPr>
      </w:pPr>
      <w:r>
        <w:rPr>
          <w:rFonts w:ascii="黑体" w:hAnsi="黑体" w:eastAsia="黑体" w:cs="黑体"/>
          <w:sz w:val="32"/>
          <w:szCs w:val="32"/>
        </w:rPr>
        <w:t>一是筑牢根基强产业。</w:t>
      </w:r>
      <w:r>
        <w:rPr>
          <w:rFonts w:eastAsia="仿宋_GB2312" w:cs="仿宋_GB2312"/>
          <w:snapToGrid/>
          <w:kern w:val="2"/>
          <w:sz w:val="32"/>
          <w:szCs w:val="32"/>
        </w:rPr>
        <w:t>坚持向优质品种、栽培技术、管理模式更新要效益，全面推进产业转型升级，努力打造现代苹果产业发展新高地。在种植管理方面，引进欧美集约栽培管理模式，建成8000亩现代苹果种植区，配套先进灌溉设备和全自动控制系统，采用物联网、水肥一体化系统等智能管控技术，机械化作业率达到75%，人工等成本降低60%，年产优质苹果2500万公斤，总产值1.82亿元。在品种培育方面，依托樱聚瓦苗木，建成2000亩国家落叶果树脱毒中心苹果无病毒苗木栽培实验示范基地，引进培育24个。优质脱毒苗木和38个苹果品种，是“爱妃”“故事”等苹果新品种国内唯一授权的苗木繁育单位；在此基础上，深化与鑫荣懋集团合作对接“爱妃”苹果种植权，着力打造现代苹果育苗、种植产业的行业标杆，年产高质量苗木300万株、远销全国31个省市区，全镇新建果园良种普及率达到99%、亩均效益提高到3.5万元。在标准建设方面，推动樱聚缘联合威海苹果行业协会，在全国率先启动现代苹果全产业链标准制定工作，目前已牵头或参与完成省、市地方标准及团队标准40项，建立全覆盖式苹果标准化生产管理体系，用标准引领现代苹果产业高质量发展。</w:t>
      </w:r>
    </w:p>
    <w:p>
      <w:pPr>
        <w:pStyle w:val="11"/>
        <w:kinsoku/>
        <w:autoSpaceDE/>
        <w:autoSpaceDN/>
        <w:adjustRightInd/>
        <w:snapToGrid/>
        <w:spacing w:line="560" w:lineRule="exact"/>
        <w:ind w:firstLine="640" w:firstLineChars="200"/>
        <w:jc w:val="both"/>
        <w:textAlignment w:val="auto"/>
        <w:rPr>
          <w:rFonts w:hint="default" w:eastAsia="仿宋_GB2312" w:cs="仿宋_GB2312"/>
          <w:snapToGrid/>
          <w:kern w:val="2"/>
          <w:sz w:val="32"/>
          <w:szCs w:val="32"/>
        </w:rPr>
      </w:pPr>
      <w:r>
        <w:rPr>
          <w:rFonts w:ascii="黑体" w:hAnsi="黑体" w:eastAsia="黑体" w:cs="黑体"/>
          <w:sz w:val="32"/>
          <w:szCs w:val="32"/>
        </w:rPr>
        <w:t>二是培优主体蓄动能。</w:t>
      </w:r>
      <w:r>
        <w:rPr>
          <w:rFonts w:eastAsia="仿宋_GB2312" w:cs="仿宋_GB2312"/>
          <w:snapToGrid/>
          <w:kern w:val="2"/>
          <w:sz w:val="32"/>
          <w:szCs w:val="32"/>
        </w:rPr>
        <w:t>做强优势产业项目。以培育樱聚缘、鲁巽农业等11家龙头企业为主攻点，以加强苹果苗木品种研发、标准化种植、精深加工、仓储物流、品牌创建等为突破点，整合财政资金、国有资本、社会投资约2.1亿元，重点建设汪疃苹果产业融合发展示范基地、</w:t>
      </w:r>
      <w:r>
        <w:rPr>
          <w:rFonts w:hint="default" w:eastAsia="仿宋_GB2312" w:cs="仿宋_GB2312"/>
          <w:snapToGrid/>
          <w:kern w:val="2"/>
          <w:sz w:val="32"/>
          <w:szCs w:val="32"/>
        </w:rPr>
        <w:t>欣旺苹果全产业链提升</w:t>
      </w:r>
      <w:r>
        <w:rPr>
          <w:rFonts w:eastAsia="仿宋_GB2312" w:cs="仿宋_GB2312"/>
          <w:snapToGrid/>
          <w:kern w:val="2"/>
          <w:sz w:val="32"/>
          <w:szCs w:val="32"/>
        </w:rPr>
        <w:t>、</w:t>
      </w:r>
      <w:r>
        <w:rPr>
          <w:rFonts w:hint="default" w:eastAsia="仿宋_GB2312" w:cs="仿宋_GB2312"/>
          <w:snapToGrid/>
          <w:kern w:val="2"/>
          <w:sz w:val="32"/>
          <w:szCs w:val="32"/>
        </w:rPr>
        <w:t>樱聚缘标准化苹果智慧种植示范基地</w:t>
      </w:r>
      <w:r>
        <w:rPr>
          <w:rFonts w:eastAsia="仿宋_GB2312" w:cs="仿宋_GB2312"/>
          <w:snapToGrid/>
          <w:kern w:val="2"/>
          <w:sz w:val="32"/>
          <w:szCs w:val="32"/>
        </w:rPr>
        <w:t>等6大重点项目，打造现代苹果产业矩阵，推动产业聚链成群。提升农业主体效能。依托乡村振兴专家服务团，加强技术培训普及，围绕苹果产业发展现状与对策、苹果提质增效关键栽培技术、果实采摘技术实操等方面培训新型职业农民和乡土人才800余人，有力破解产业发展困境、助力果农优产增收。抓实联农带农机制，进一步整合全镇58个村苹果种植园20亩以上43个、20亩以下288个，促进</w:t>
      </w:r>
      <w:r>
        <w:rPr>
          <w:rFonts w:hint="default" w:eastAsia="仿宋_GB2312" w:cs="仿宋_GB2312"/>
          <w:snapToGrid/>
          <w:kern w:val="2"/>
          <w:sz w:val="32"/>
          <w:szCs w:val="32"/>
        </w:rPr>
        <w:t>小农户与现代化大生产、大流通、大市场有机衔接</w:t>
      </w:r>
      <w:r>
        <w:rPr>
          <w:rFonts w:eastAsia="仿宋_GB2312" w:cs="仿宋_GB2312"/>
          <w:snapToGrid/>
          <w:kern w:val="2"/>
          <w:sz w:val="32"/>
          <w:szCs w:val="32"/>
        </w:rPr>
        <w:t>，推动村庄和企业资源互利、</w:t>
      </w:r>
      <w:r>
        <w:rPr>
          <w:rFonts w:hint="default" w:eastAsia="仿宋_GB2312" w:cs="仿宋_GB2312"/>
          <w:snapToGrid/>
          <w:kern w:val="2"/>
          <w:sz w:val="32"/>
          <w:szCs w:val="32"/>
        </w:rPr>
        <w:t>抱团发展、连片振兴</w:t>
      </w:r>
      <w:r>
        <w:rPr>
          <w:rFonts w:eastAsia="仿宋_GB2312" w:cs="仿宋_GB2312"/>
          <w:snapToGrid/>
          <w:kern w:val="2"/>
          <w:sz w:val="32"/>
          <w:szCs w:val="32"/>
        </w:rPr>
        <w:t>，从而带动村集体和村民年增收500万元、人均增收2.8万元。</w:t>
      </w:r>
    </w:p>
    <w:p>
      <w:pPr>
        <w:spacing w:line="560" w:lineRule="exact"/>
        <w:ind w:firstLine="640" w:firstLineChars="200"/>
        <w:rPr>
          <w:rFonts w:ascii="宋体" w:hAnsi="宋体" w:eastAsia="仿宋_GB2312" w:cs="仿宋_GB2312"/>
          <w:snapToGrid/>
          <w:kern w:val="2"/>
          <w:sz w:val="32"/>
          <w:szCs w:val="32"/>
          <w:lang w:eastAsia="zh-CN"/>
        </w:rPr>
      </w:pPr>
      <w:r>
        <w:rPr>
          <w:rFonts w:hint="eastAsia" w:ascii="黑体" w:hAnsi="黑体" w:eastAsia="黑体" w:cs="黑体"/>
          <w:sz w:val="32"/>
          <w:szCs w:val="32"/>
          <w:lang w:eastAsia="zh-CN"/>
        </w:rPr>
        <w:t>三是三产融合延链条。</w:t>
      </w:r>
      <w:r>
        <w:rPr>
          <w:rFonts w:hint="eastAsia" w:ascii="宋体" w:hAnsi="宋体" w:eastAsia="仿宋_GB2312" w:cs="仿宋_GB2312"/>
          <w:snapToGrid/>
          <w:kern w:val="2"/>
          <w:sz w:val="32"/>
          <w:szCs w:val="32"/>
          <w:lang w:eastAsia="zh-CN"/>
        </w:rPr>
        <w:t>迎合消费新趋势，探索多业态发展模式。聚焦精深加工，筹备建设占地3000平方米的现代化果品加工车间，研发生产果汁、果干等传统加工产品，以及果醋、果酒、果粉等创新产品，提高苹果产品附加值。聚焦文旅融合，打造汪疃苹果三产融合示范区展示区，成功承接2024年中国苹果产业品牌大会等2场国家级、1场省级苹果产业领域会议现场观摩活动；建成开放全市首家苹果文化苑，实现果树栽培与文化传承、科普研学等多业态融合发展，每年接待团队研学2000余人，带动营收约30万元；同时，结合“春采草莓、夏摘樱桃、秋品葡萄、冬食苹果”的四季采摘特色，深化农文旅融合发展，提高“果香·汪疃”休闲游知名度，推动现代苹果产业全链条振兴。聚焦品牌创树，积极申请“汪疃苹果”国家地理标志证明商标，加快</w:t>
      </w:r>
      <w:r>
        <w:rPr>
          <w:rFonts w:ascii="宋体" w:hAnsi="宋体" w:eastAsia="仿宋_GB2312" w:cs="仿宋_GB2312"/>
          <w:snapToGrid/>
          <w:kern w:val="2"/>
          <w:sz w:val="32"/>
          <w:szCs w:val="32"/>
          <w:lang w:eastAsia="zh-CN"/>
        </w:rPr>
        <w:t>成立汪疃镇公共电商服务中心</w:t>
      </w:r>
      <w:r>
        <w:rPr>
          <w:rFonts w:hint="eastAsia" w:ascii="宋体" w:hAnsi="宋体" w:eastAsia="仿宋_GB2312" w:cs="仿宋_GB2312"/>
          <w:snapToGrid/>
          <w:kern w:val="2"/>
          <w:sz w:val="32"/>
          <w:szCs w:val="32"/>
          <w:lang w:eastAsia="zh-CN"/>
        </w:rPr>
        <w:t>，</w:t>
      </w:r>
      <w:r>
        <w:rPr>
          <w:rFonts w:ascii="宋体" w:hAnsi="宋体" w:eastAsia="仿宋_GB2312" w:cs="仿宋_GB2312"/>
          <w:snapToGrid/>
          <w:kern w:val="2"/>
          <w:sz w:val="32"/>
          <w:szCs w:val="32"/>
          <w:lang w:eastAsia="zh-CN"/>
        </w:rPr>
        <w:t>培养本土特色直播账号，</w:t>
      </w:r>
      <w:r>
        <w:rPr>
          <w:rFonts w:hint="eastAsia" w:ascii="宋体" w:hAnsi="宋体" w:eastAsia="仿宋_GB2312" w:cs="仿宋_GB2312"/>
          <w:snapToGrid/>
          <w:kern w:val="2"/>
          <w:sz w:val="32"/>
          <w:szCs w:val="32"/>
          <w:lang w:eastAsia="zh-CN"/>
        </w:rPr>
        <w:t>拓宽线上销售渠道；深化与佳沃等头部企业对接合作，搭建线下直供渠道，扩大苹果产品市场覆盖面，持续提升“汪疃苹果”品牌影响力和美誉度。</w:t>
      </w:r>
    </w:p>
    <w:p>
      <w:pPr>
        <w:pStyle w:val="5"/>
        <w:spacing w:before="0" w:after="0" w:line="560" w:lineRule="exact"/>
        <w:rPr>
          <w:lang w:eastAsia="zh-CN"/>
        </w:rPr>
      </w:pPr>
    </w:p>
    <w:p>
      <w:pPr>
        <w:pStyle w:val="13"/>
        <w:keepNext w:val="0"/>
        <w:keepLines w:val="0"/>
        <w:pageBreakBefore w:val="0"/>
        <w:widowControl w:val="0"/>
        <w:kinsoku/>
        <w:wordWrap/>
        <w:overflowPunct/>
        <w:topLinePunct w:val="0"/>
        <w:autoSpaceDE/>
        <w:autoSpaceDN/>
        <w:bidi w:val="0"/>
        <w:adjustRightInd/>
        <w:spacing w:after="0" w:line="560" w:lineRule="exact"/>
        <w:ind w:left="0" w:leftChars="0" w:firstLine="0" w:firstLineChars="0"/>
        <w:textAlignment w:val="auto"/>
        <w:rPr>
          <w:rFonts w:ascii="宋体" w:hAnsi="宋体"/>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A00002BF" w:usb1="38CF7CFA" w:usb2="00082016" w:usb3="00000000" w:csb0="00040001" w:csb1="00000000"/>
  </w:font>
  <w:font w:name="仿宋_GB2312">
    <w:altName w:val="方正仿宋_GBK"/>
    <w:panose1 w:val="02010609030101010101"/>
    <w:charset w:val="00"/>
    <w:family w:val="modern"/>
    <w:pitch w:val="default"/>
    <w:sig w:usb0="00000000" w:usb1="00000000" w:usb2="00000010" w:usb3="00000000" w:csb0="00040000" w:csb1="00000000"/>
  </w:font>
  <w:font w:name="楷体_GB2312">
    <w:altName w:val="方正楷体_GBK"/>
    <w:panose1 w:val="02010609030101010101"/>
    <w:charset w:val="00"/>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8FiLy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GeRIfZyLTVLstl3f3NZWR/Tm&#10;7ZkcwfF1g+QbFuIj82ADCgbD4wMOqSyS2F6ipLb+09/ekz+GBCslLdhVUgP6U6LeGgwvEXEQ/CBs&#10;B8Hs9Z0FXSfYHMeziA8+qkGU3uqPoP0q5ZBMBQRmhiMbRjOIdxFab8T6cLFaXfS9882uvn4GFR2L&#10;G/PkeD/chG1wq30Evhn2hNkZqB5K8DEPrt+dRPhf9ex13fDl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8FiLyGwIAACkEAAAOAAAAAAAAAAEAIAAAADUBAABkcnMvZTJvRG9jLnhtbFBLBQYA&#10;AAAABgAGAFkBAADCBQAAAAA=&#10;">
              <v:fill on="f" focussize="0,0"/>
              <v:stroke on="f" weight="0.5pt"/>
              <v:imagedata o:title=""/>
              <o:lock v:ext="edit" aspectratio="f"/>
              <v:textbox inset="0mm,0mm,0mm,0mm" style="mso-fit-shape-to-text:t;">
                <w:txbxContent>
                  <w:p>
                    <w:pPr>
                      <w:pStyle w:val="7"/>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k3OGY2NmUwYjczNjc2OWI4NDRhMzM5NjJmNDM3YzYifQ=="/>
  </w:docVars>
  <w:rsids>
    <w:rsidRoot w:val="00F56864"/>
    <w:rsid w:val="00A77412"/>
    <w:rsid w:val="00D43B1C"/>
    <w:rsid w:val="00D93001"/>
    <w:rsid w:val="00F56864"/>
    <w:rsid w:val="0BD10109"/>
    <w:rsid w:val="32FE497D"/>
    <w:rsid w:val="5CFF65F5"/>
    <w:rsid w:val="797CC583"/>
    <w:rsid w:val="7A7FF816"/>
    <w:rsid w:val="7DDFC510"/>
    <w:rsid w:val="B166C4EE"/>
    <w:rsid w:val="FF5A9AA0"/>
    <w:rsid w:val="FF9FAC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5">
    <w:name w:val="heading 3"/>
    <w:basedOn w:val="1"/>
    <w:next w:val="1"/>
    <w:unhideWhenUsed/>
    <w:qFormat/>
    <w:uiPriority w:val="9"/>
    <w:pPr>
      <w:keepNext/>
      <w:keepLines/>
      <w:spacing w:before="260" w:after="260" w:line="413" w:lineRule="auto"/>
      <w:outlineLvl w:val="2"/>
    </w:pPr>
    <w:rPr>
      <w:b/>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left="0" w:leftChars="0" w:firstLine="420" w:firstLineChars="200"/>
    </w:pPr>
    <w:rPr>
      <w:rFonts w:ascii="Times New Roman" w:hAnsi="Times New Roman" w:eastAsia="宋体" w:cs="Times New Roman"/>
    </w:rPr>
  </w:style>
  <w:style w:type="paragraph" w:styleId="3">
    <w:name w:val="Body Text Indent"/>
    <w:basedOn w:val="1"/>
    <w:next w:val="4"/>
    <w:qFormat/>
    <w:uiPriority w:val="0"/>
    <w:pPr>
      <w:ind w:left="420" w:leftChars="200"/>
    </w:pPr>
    <w:rPr>
      <w:rFonts w:ascii="Times New Roman" w:hAnsi="Times New Roman" w:eastAsia="宋体" w:cs="Times New Roman"/>
    </w:rPr>
  </w:style>
  <w:style w:type="paragraph" w:styleId="4">
    <w:name w:val="Normal Indent"/>
    <w:basedOn w:val="1"/>
    <w:qFormat/>
    <w:uiPriority w:val="0"/>
    <w:pPr>
      <w:ind w:firstLine="420" w:firstLineChars="200"/>
    </w:pPr>
  </w:style>
  <w:style w:type="paragraph" w:styleId="6">
    <w:name w:val="Body Text"/>
    <w:basedOn w:val="1"/>
    <w:next w:val="1"/>
    <w:unhideWhenUsed/>
    <w:qFormat/>
    <w:uiPriority w:val="99"/>
    <w:pPr>
      <w:spacing w:after="120"/>
    </w:pPr>
  </w:style>
  <w:style w:type="paragraph" w:styleId="7">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toc 1"/>
    <w:basedOn w:val="1"/>
    <w:next w:val="1"/>
    <w:qFormat/>
    <w:uiPriority w:val="99"/>
    <w:pPr>
      <w:snapToGrid w:val="0"/>
      <w:spacing w:line="640" w:lineRule="exact"/>
      <w:ind w:firstLine="705"/>
    </w:pPr>
    <w:rPr>
      <w:rFonts w:ascii="仿宋_GB2312"/>
      <w:color w:val="000000"/>
      <w:sz w:val="36"/>
      <w:szCs w:val="36"/>
    </w:rPr>
  </w:style>
  <w:style w:type="paragraph" w:styleId="10">
    <w:name w:val="Body Text 2"/>
    <w:basedOn w:val="1"/>
    <w:qFormat/>
    <w:uiPriority w:val="0"/>
    <w:pPr>
      <w:spacing w:after="120" w:afterLines="0" w:line="480" w:lineRule="auto"/>
    </w:pPr>
    <w:rPr>
      <w:rFonts w:eastAsia="宋体"/>
      <w:sz w:val="21"/>
    </w:rPr>
  </w:style>
  <w:style w:type="paragraph" w:styleId="1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hint="eastAsia" w:ascii="宋体" w:hAnsi="宋体" w:eastAsia="宋体" w:cs="Times New Roman"/>
      <w:sz w:val="24"/>
      <w:szCs w:val="24"/>
      <w:lang w:eastAsia="zh-CN"/>
    </w:rPr>
  </w:style>
  <w:style w:type="paragraph" w:styleId="1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3">
    <w:name w:val="Body Text First Indent"/>
    <w:basedOn w:val="6"/>
    <w:unhideWhenUsed/>
    <w:qFormat/>
    <w:uiPriority w:val="99"/>
    <w:pPr>
      <w:shd w:val="clear" w:color="auto" w:fill="FFFFFF"/>
      <w:spacing w:line="600" w:lineRule="exact"/>
      <w:ind w:firstLine="420" w:firstLineChars="100"/>
    </w:pPr>
    <w:rPr>
      <w:rFonts w:ascii="仿宋_GB2312" w:hAnsi="仿宋_GB2312" w:eastAsia="仿宋_GB2312" w:cs="仿宋_GB2312"/>
      <w:sz w:val="30"/>
      <w:szCs w:val="30"/>
    </w:rPr>
  </w:style>
  <w:style w:type="character" w:customStyle="1" w:styleId="16">
    <w:name w:val="页眉 Char"/>
    <w:basedOn w:val="15"/>
    <w:link w:val="8"/>
    <w:qFormat/>
    <w:uiPriority w:val="99"/>
    <w:rPr>
      <w:sz w:val="18"/>
      <w:szCs w:val="18"/>
    </w:rPr>
  </w:style>
  <w:style w:type="character" w:customStyle="1" w:styleId="17">
    <w:name w:val="页脚 Char"/>
    <w:basedOn w:val="15"/>
    <w:link w:val="7"/>
    <w:qFormat/>
    <w:uiPriority w:val="99"/>
    <w:rPr>
      <w:sz w:val="18"/>
      <w:szCs w:val="18"/>
    </w:rPr>
  </w:style>
  <w:style w:type="paragraph" w:customStyle="1" w:styleId="18">
    <w:name w:val="正文首行缩进 21"/>
    <w:basedOn w:val="19"/>
    <w:qFormat/>
    <w:uiPriority w:val="0"/>
    <w:pPr>
      <w:ind w:firstLine="420" w:firstLineChars="200"/>
    </w:pPr>
    <w:rPr>
      <w:rFonts w:ascii="Times New Roman" w:hAnsi="Times New Roman"/>
    </w:rPr>
  </w:style>
  <w:style w:type="paragraph" w:customStyle="1" w:styleId="19">
    <w:name w:val="正文文本缩进1"/>
    <w:basedOn w:val="1"/>
    <w:qFormat/>
    <w:uiPriority w:val="0"/>
    <w:pPr>
      <w:ind w:left="420" w:left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1561</Words>
  <Characters>1601</Characters>
  <Lines>11</Lines>
  <Paragraphs>3</Paragraphs>
  <TotalTime>1</TotalTime>
  <ScaleCrop>false</ScaleCrop>
  <LinksUpToDate>false</LinksUpToDate>
  <CharactersWithSpaces>1601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2021-01-30T10:55:00Z</dcterms:created>
  <dc:creator>lenovo</dc:creator>
  <cp:lastModifiedBy>user</cp:lastModifiedBy>
  <dcterms:modified xsi:type="dcterms:W3CDTF">2025-12-11T11:26:36Z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BA997D9D345644EF94B88C47E49B31DE</vt:lpwstr>
  </property>
</Properties>
</file>