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ascii="方正小标宋简体" w:eastAsia="方正小标宋简体" w:cs="Times New Roman"/>
          <w:sz w:val="44"/>
          <w:szCs w:val="44"/>
        </w:rPr>
      </w:pPr>
      <w:r>
        <w:rPr>
          <w:rFonts w:hint="eastAsia" w:ascii="方正小标宋简体" w:eastAsia="方正小标宋简体" w:cs="方正小标宋简体"/>
          <w:sz w:val="44"/>
          <w:szCs w:val="44"/>
        </w:rPr>
        <w:t>关于创新体制机制</w:t>
      </w:r>
    </w:p>
    <w:p>
      <w:pPr>
        <w:spacing w:line="620" w:lineRule="exact"/>
        <w:jc w:val="center"/>
        <w:rPr>
          <w:rFonts w:ascii="方正小标宋简体" w:eastAsia="方正小标宋简体" w:cs="方正小标宋简体"/>
          <w:sz w:val="44"/>
          <w:szCs w:val="44"/>
        </w:rPr>
      </w:pPr>
      <w:r>
        <w:rPr>
          <w:rFonts w:hint="eastAsia" w:ascii="方正小标宋简体" w:eastAsia="方正小标宋简体" w:cs="方正小标宋简体"/>
          <w:sz w:val="44"/>
          <w:szCs w:val="44"/>
        </w:rPr>
        <w:t>推进农业绿色发展的实施意见</w:t>
      </w:r>
    </w:p>
    <w:p>
      <w:pPr>
        <w:spacing w:line="620" w:lineRule="exact"/>
        <w:jc w:val="center"/>
        <w:rPr>
          <w:rFonts w:ascii="华文楷体" w:hAnsi="华文楷体" w:eastAsia="华文楷体" w:cs="Times New Roman"/>
          <w:sz w:val="32"/>
          <w:szCs w:val="32"/>
        </w:rPr>
      </w:pPr>
      <w:r>
        <w:rPr>
          <w:rFonts w:hint="eastAsia" w:ascii="华文楷体" w:hAnsi="华文楷体" w:eastAsia="华文楷体" w:cs="方正小标宋简体"/>
          <w:sz w:val="32"/>
          <w:szCs w:val="32"/>
        </w:rPr>
        <w:t>（征求意见稿）</w:t>
      </w:r>
    </w:p>
    <w:p>
      <w:pPr>
        <w:widowControl/>
        <w:shd w:val="clear" w:color="auto" w:fill="FFFFFF"/>
        <w:snapToGrid w:val="0"/>
        <w:spacing w:line="560" w:lineRule="exact"/>
        <w:ind w:firstLine="640" w:firstLineChars="200"/>
        <w:rPr>
          <w:rFonts w:ascii="仿宋_GB2312" w:hAnsi="宋体" w:eastAsia="Times New Roman" w:cs="Times New Roman"/>
          <w:kern w:val="0"/>
          <w:sz w:val="32"/>
          <w:szCs w:val="32"/>
        </w:rPr>
      </w:pPr>
    </w:p>
    <w:p>
      <w:pPr>
        <w:pStyle w:val="7"/>
        <w:shd w:val="clear" w:color="auto" w:fill="FFFFFF"/>
        <w:spacing w:before="0" w:beforeAutospacing="0" w:after="0" w:afterAutospacing="0" w:line="560" w:lineRule="exact"/>
        <w:ind w:firstLine="640" w:firstLineChars="200"/>
        <w:jc w:val="both"/>
        <w:rPr>
          <w:rFonts w:ascii="仿宋_GB2312" w:hAnsi="Calibri" w:eastAsia="仿宋_GB2312" w:cs="Times New Roman"/>
          <w:kern w:val="2"/>
          <w:sz w:val="32"/>
          <w:szCs w:val="32"/>
        </w:rPr>
      </w:pPr>
      <w:r>
        <w:rPr>
          <w:rFonts w:hint="eastAsia" w:ascii="仿宋_GB2312" w:hAnsi="Calibri" w:eastAsia="仿宋_GB2312" w:cs="Times New Roman"/>
          <w:kern w:val="2"/>
          <w:sz w:val="32"/>
          <w:szCs w:val="32"/>
        </w:rPr>
        <w:t>为深入贯彻落实《中共中央办公厅、国务院办公厅印发〈关于创新体制机制推进农业绿色发展的意见〉的通知》（中办发〔</w:t>
      </w:r>
      <w:r>
        <w:rPr>
          <w:rFonts w:hint="eastAsia" w:ascii="仿宋_GB2312" w:hAnsi="Calibri" w:eastAsia="仿宋_GB2312" w:cs="仿宋_GB2312"/>
          <w:kern w:val="2"/>
          <w:sz w:val="32"/>
          <w:szCs w:val="32"/>
        </w:rPr>
        <w:t>2017</w:t>
      </w:r>
      <w:r>
        <w:rPr>
          <w:rFonts w:hint="eastAsia" w:ascii="仿宋_GB2312" w:hAnsi="Calibri" w:eastAsia="仿宋_GB2312" w:cs="Times New Roman"/>
          <w:kern w:val="2"/>
          <w:sz w:val="32"/>
          <w:szCs w:val="32"/>
        </w:rPr>
        <w:t>〕</w:t>
      </w:r>
      <w:r>
        <w:rPr>
          <w:rFonts w:hint="eastAsia" w:ascii="仿宋_GB2312" w:hAnsi="Calibri" w:eastAsia="仿宋_GB2312" w:cs="仿宋_GB2312"/>
          <w:kern w:val="2"/>
          <w:sz w:val="32"/>
          <w:szCs w:val="32"/>
        </w:rPr>
        <w:t>56</w:t>
      </w:r>
      <w:r>
        <w:rPr>
          <w:rFonts w:hint="eastAsia" w:ascii="仿宋_GB2312" w:hAnsi="Calibri" w:eastAsia="仿宋_GB2312" w:cs="Times New Roman"/>
          <w:kern w:val="2"/>
          <w:sz w:val="32"/>
          <w:szCs w:val="32"/>
        </w:rPr>
        <w:t>号）和《中共山东省委办公厅、山东省人民政府办公厅印发〈关于创新体制机制推进农业绿色发展的意见〉的通知》（鲁发办﹝</w:t>
      </w:r>
      <w:r>
        <w:rPr>
          <w:rFonts w:hint="eastAsia" w:ascii="仿宋_GB2312" w:hAnsi="Calibri" w:eastAsia="仿宋_GB2312" w:cs="仿宋_GB2312"/>
          <w:kern w:val="2"/>
          <w:sz w:val="32"/>
          <w:szCs w:val="32"/>
        </w:rPr>
        <w:t>2018</w:t>
      </w:r>
      <w:r>
        <w:rPr>
          <w:rFonts w:hint="eastAsia" w:ascii="仿宋_GB2312" w:hAnsi="Calibri" w:eastAsia="仿宋_GB2312" w:cs="Times New Roman"/>
          <w:kern w:val="2"/>
          <w:sz w:val="32"/>
          <w:szCs w:val="32"/>
        </w:rPr>
        <w:t>﹞</w:t>
      </w:r>
      <w:r>
        <w:rPr>
          <w:rFonts w:hint="eastAsia" w:ascii="仿宋_GB2312" w:hAnsi="Calibri" w:eastAsia="仿宋_GB2312" w:cs="仿宋_GB2312"/>
          <w:kern w:val="2"/>
          <w:sz w:val="32"/>
          <w:szCs w:val="32"/>
        </w:rPr>
        <w:t>36</w:t>
      </w:r>
      <w:r>
        <w:rPr>
          <w:rFonts w:hint="eastAsia" w:ascii="仿宋_GB2312" w:hAnsi="Calibri" w:eastAsia="仿宋_GB2312" w:cs="Times New Roman"/>
          <w:kern w:val="2"/>
          <w:sz w:val="32"/>
          <w:szCs w:val="32"/>
        </w:rPr>
        <w:t>号）等文件精神，加快推进生态农业建设，促进我市农业绿色发展、可持续发展，提出以下实施意见。</w:t>
      </w:r>
    </w:p>
    <w:p>
      <w:pPr>
        <w:pStyle w:val="7"/>
        <w:shd w:val="clear" w:color="auto" w:fill="FFFFFF"/>
        <w:snapToGrid w:val="0"/>
        <w:spacing w:before="0" w:beforeAutospacing="0" w:after="0" w:afterAutospacing="0" w:line="560" w:lineRule="exact"/>
        <w:ind w:firstLine="800" w:firstLineChars="250"/>
        <w:jc w:val="both"/>
        <w:rPr>
          <w:rFonts w:ascii="黑体" w:hAnsi="黑体" w:eastAsia="黑体" w:cs="Times New Roman"/>
          <w:sz w:val="32"/>
          <w:szCs w:val="32"/>
        </w:rPr>
      </w:pPr>
      <w:r>
        <w:rPr>
          <w:rFonts w:hint="eastAsia" w:ascii="黑体" w:hAnsi="黑体" w:eastAsia="黑体" w:cs="黑体"/>
          <w:sz w:val="32"/>
          <w:szCs w:val="32"/>
        </w:rPr>
        <w:t>一、总体要求</w:t>
      </w:r>
    </w:p>
    <w:p>
      <w:pPr>
        <w:pStyle w:val="7"/>
        <w:shd w:val="clear" w:color="auto" w:fill="FFFFFF"/>
        <w:spacing w:before="0" w:beforeAutospacing="0" w:after="0" w:afterAutospacing="0" w:line="560" w:lineRule="exact"/>
        <w:ind w:firstLine="640" w:firstLineChars="200"/>
        <w:jc w:val="both"/>
        <w:rPr>
          <w:rFonts w:ascii="仿宋_GB2312" w:hAnsi="Calibri" w:eastAsia="Times New Roman" w:cs="Times New Roman"/>
          <w:kern w:val="2"/>
          <w:sz w:val="32"/>
          <w:szCs w:val="32"/>
        </w:rPr>
      </w:pPr>
      <w:r>
        <w:rPr>
          <w:rFonts w:hint="eastAsia" w:ascii="楷体_GB2312" w:hAnsi="楷体_GB2312" w:eastAsia="楷体_GB2312" w:cs="楷体_GB2312"/>
          <w:sz w:val="32"/>
          <w:szCs w:val="32"/>
        </w:rPr>
        <w:t>（一）指导思想。</w:t>
      </w:r>
      <w:r>
        <w:rPr>
          <w:rFonts w:hint="eastAsia" w:ascii="仿宋_GB2312" w:hAnsi="Calibri" w:eastAsia="仿宋_GB2312" w:cs="Times New Roman"/>
          <w:kern w:val="2"/>
          <w:sz w:val="32"/>
          <w:szCs w:val="32"/>
        </w:rPr>
        <w:t>全面贯彻落实党的十九大精神，以习近平新时代中国特色社会主义思想为指导，深入贯彻习近平总书记视察山东重要讲话以及重要指示和批示精神，紧紧围绕统筹推进“五位一体”总体布局和协调推进“四个全面”战略布局，牢固树立“绿水青山就是金山银山”的理念，坚持生态立市、绿色发展，坚定走“生产发展、生活富裕、生态良好”的发展道路，以资源环境承载力为基准，以推进农业供给侧结构性改革为主线，强化改革创新、激励约束和政府监管，转变农业发展方式，优化空间布局，节约利用资源，保护产地环境，提升生态服务功能，全力构建人与自然和谐共生的农业发展新格局，推动形成绿色生产方式和生活方式，实现农业强、农民富、农村美，为推动乡村振兴、实现现代化幸福威海建设新跨越提供有力支撑。</w:t>
      </w:r>
    </w:p>
    <w:p>
      <w:pPr>
        <w:pStyle w:val="7"/>
        <w:shd w:val="clear" w:color="auto" w:fill="FFFFFF"/>
        <w:spacing w:before="0" w:beforeAutospacing="0" w:after="0" w:afterAutospacing="0" w:line="560" w:lineRule="exact"/>
        <w:ind w:firstLine="640" w:firstLineChars="200"/>
        <w:jc w:val="both"/>
        <w:rPr>
          <w:rFonts w:ascii="仿宋_GB2312" w:hAnsi="Calibri" w:eastAsia="仿宋_GB2312" w:cs="Times New Roman"/>
          <w:kern w:val="2"/>
          <w:sz w:val="32"/>
          <w:szCs w:val="32"/>
        </w:rPr>
      </w:pPr>
      <w:r>
        <w:rPr>
          <w:rFonts w:hint="eastAsia" w:ascii="楷体_GB2312" w:hAnsi="楷体_GB2312" w:eastAsia="楷体_GB2312" w:cs="楷体_GB2312"/>
          <w:sz w:val="32"/>
          <w:szCs w:val="32"/>
        </w:rPr>
        <w:t>（二）目标任务。</w:t>
      </w:r>
      <w:r>
        <w:rPr>
          <w:rFonts w:ascii="仿宋_GB2312" w:hAnsi="Calibri" w:eastAsia="仿宋_GB2312" w:cs="Times New Roman"/>
          <w:kern w:val="2"/>
          <w:sz w:val="32"/>
          <w:szCs w:val="32"/>
        </w:rPr>
        <w:t>建立健全以绿色生态为导向的制度体系，基本形成于资源环境承载力相匹配、与生产生活生态相协调的农业发展格局，努力实现耕地数量不减少、耕地质量不下降、地下水不超采，化肥、农药使用量零增长，秸秆、畜禽粪污、农膜全利用，实现农业可持续发展、农民生活更加富裕、乡村更加美丽宜居。</w:t>
      </w:r>
    </w:p>
    <w:p>
      <w:pPr>
        <w:pStyle w:val="7"/>
        <w:shd w:val="clear" w:color="auto" w:fill="FFFFFF"/>
        <w:spacing w:before="0" w:beforeAutospacing="0" w:after="0" w:afterAutospacing="0" w:line="560" w:lineRule="exact"/>
        <w:ind w:firstLine="640" w:firstLineChars="200"/>
        <w:jc w:val="both"/>
        <w:rPr>
          <w:rFonts w:ascii="仿宋_GB2312" w:hAnsi="Calibri" w:eastAsia="仿宋_GB2312" w:cs="Times New Roman"/>
          <w:kern w:val="2"/>
          <w:sz w:val="32"/>
          <w:szCs w:val="32"/>
        </w:rPr>
      </w:pPr>
      <w:r>
        <w:rPr>
          <w:rFonts w:ascii="仿宋_GB2312" w:hAnsi="Calibri" w:eastAsia="仿宋_GB2312" w:cs="Times New Roman"/>
          <w:kern w:val="2"/>
          <w:sz w:val="32"/>
          <w:szCs w:val="32"/>
        </w:rPr>
        <w:t>资源利用更加节约高效。到2020年，严守283.35万亩耕地红线，全市耕地质量平均比2015年提高0.5个等级；全市农田灌溉水有效利用系数提高到0.70以上。到2030年，全市耕地质量水平和农业用水效率进一步提高。</w:t>
      </w:r>
    </w:p>
    <w:p>
      <w:pPr>
        <w:pStyle w:val="7"/>
        <w:shd w:val="clear" w:color="auto" w:fill="FFFFFF"/>
        <w:spacing w:before="0" w:beforeAutospacing="0" w:after="0" w:afterAutospacing="0" w:line="560" w:lineRule="exact"/>
        <w:ind w:firstLine="640" w:firstLineChars="200"/>
        <w:jc w:val="both"/>
        <w:rPr>
          <w:rFonts w:ascii="仿宋_GB2312" w:hAnsi="Calibri" w:eastAsia="仿宋_GB2312" w:cs="Times New Roman"/>
          <w:kern w:val="2"/>
          <w:sz w:val="32"/>
          <w:szCs w:val="32"/>
        </w:rPr>
      </w:pPr>
      <w:r>
        <w:rPr>
          <w:rFonts w:ascii="仿宋_GB2312" w:hAnsi="Calibri" w:eastAsia="仿宋_GB2312" w:cs="Times New Roman"/>
          <w:kern w:val="2"/>
          <w:sz w:val="32"/>
          <w:szCs w:val="32"/>
        </w:rPr>
        <w:t>产地环境更加清洁。到2020年，力争主要农作物化肥、农药利用率分别达到40%以上；秸秆综合利用率稳定在95%以上，畜禽粪污综合利用率达到</w:t>
      </w:r>
      <w:r>
        <w:rPr>
          <w:rFonts w:hint="eastAsia" w:ascii="仿宋_GB2312" w:hAnsi="Calibri" w:eastAsia="仿宋_GB2312" w:cs="Times New Roman"/>
          <w:kern w:val="2"/>
          <w:sz w:val="32"/>
          <w:szCs w:val="32"/>
        </w:rPr>
        <w:t>92</w:t>
      </w:r>
      <w:r>
        <w:rPr>
          <w:rFonts w:ascii="仿宋_GB2312" w:hAnsi="Calibri" w:eastAsia="仿宋_GB2312" w:cs="Times New Roman"/>
          <w:kern w:val="2"/>
          <w:sz w:val="32"/>
          <w:szCs w:val="32"/>
        </w:rPr>
        <w:t>%，力争实现废弃农膜基本回收。到2030年，化肥、农药利用率进一步提升，农业废弃物实现资源化利用。</w:t>
      </w:r>
    </w:p>
    <w:p>
      <w:pPr>
        <w:pStyle w:val="7"/>
        <w:shd w:val="clear" w:color="auto" w:fill="FFFFFF"/>
        <w:spacing w:before="0" w:beforeAutospacing="0" w:after="0" w:afterAutospacing="0" w:line="560" w:lineRule="exact"/>
        <w:ind w:firstLine="640" w:firstLineChars="200"/>
        <w:jc w:val="both"/>
        <w:rPr>
          <w:rFonts w:ascii="仿宋_GB2312" w:hAnsi="Calibri" w:eastAsia="仿宋_GB2312" w:cs="Times New Roman"/>
          <w:kern w:val="2"/>
          <w:sz w:val="32"/>
          <w:szCs w:val="32"/>
        </w:rPr>
      </w:pPr>
      <w:r>
        <w:rPr>
          <w:rFonts w:ascii="仿宋_GB2312" w:hAnsi="Calibri" w:eastAsia="仿宋_GB2312" w:cs="Times New Roman"/>
          <w:kern w:val="2"/>
          <w:sz w:val="32"/>
          <w:szCs w:val="32"/>
        </w:rPr>
        <w:t>生态系统更加稳定。到2020年，</w:t>
      </w:r>
      <w:r>
        <w:rPr>
          <w:rFonts w:hint="eastAsia" w:ascii="仿宋_GB2312" w:hAnsi="Calibri" w:eastAsia="仿宋_GB2312" w:cs="Times New Roman"/>
          <w:kern w:val="2"/>
          <w:sz w:val="32"/>
          <w:szCs w:val="32"/>
        </w:rPr>
        <w:t>、</w:t>
      </w:r>
      <w:r>
        <w:rPr>
          <w:rFonts w:ascii="仿宋_GB2312" w:hAnsi="Calibri" w:eastAsia="仿宋_GB2312" w:cs="Times New Roman"/>
          <w:kern w:val="2"/>
          <w:sz w:val="32"/>
          <w:szCs w:val="32"/>
        </w:rPr>
        <w:t>湿地</w:t>
      </w:r>
      <w:r>
        <w:rPr>
          <w:rFonts w:hint="eastAsia" w:ascii="仿宋_GB2312" w:hAnsi="Calibri" w:eastAsia="仿宋_GB2312" w:cs="Times New Roman"/>
          <w:kern w:val="2"/>
          <w:sz w:val="32"/>
          <w:szCs w:val="32"/>
        </w:rPr>
        <w:t>保护率达到70%</w:t>
      </w:r>
      <w:r>
        <w:rPr>
          <w:rFonts w:ascii="仿宋_GB2312" w:hAnsi="Calibri" w:eastAsia="仿宋_GB2312" w:cs="Times New Roman"/>
          <w:kern w:val="2"/>
          <w:sz w:val="32"/>
          <w:szCs w:val="32"/>
        </w:rPr>
        <w:t>，大陆自然岸线保有率达到45%以上，海洋生态红线区占全市管辖海域总面积的比例不低于6%。到2030年，田园、森林、湿地、水域生态系统进一步改善。</w:t>
      </w:r>
    </w:p>
    <w:p>
      <w:pPr>
        <w:pStyle w:val="7"/>
        <w:shd w:val="clear" w:color="auto" w:fill="FFFFFF"/>
        <w:spacing w:before="0" w:beforeAutospacing="0" w:after="0" w:afterAutospacing="0" w:line="560" w:lineRule="exact"/>
        <w:ind w:firstLine="640" w:firstLineChars="200"/>
        <w:jc w:val="both"/>
        <w:rPr>
          <w:rFonts w:ascii="仿宋_GB2312" w:hAnsi="Calibri" w:eastAsia="仿宋_GB2312" w:cs="Times New Roman"/>
          <w:kern w:val="2"/>
          <w:sz w:val="32"/>
          <w:szCs w:val="32"/>
        </w:rPr>
      </w:pPr>
      <w:r>
        <w:rPr>
          <w:rFonts w:hint="eastAsia" w:ascii="仿宋_GB2312" w:hAnsi="Calibri" w:eastAsia="仿宋_GB2312" w:cs="Times New Roman"/>
          <w:kern w:val="2"/>
          <w:sz w:val="32"/>
          <w:szCs w:val="32"/>
        </w:rPr>
        <w:t>绿色供给能力明显提高。到2020年，全市粮食综合生产能力稳定在70万吨以上，“三品一标”产品产地认定面积占当地食用农产品产地总面积的比率不断提高，农产品质量安全水平和品牌农产品占比明显提升，休闲农业和乡村旅游加快发展。2030年，农产品供给更加优质安全，农业生态服务能力进一步提高。</w:t>
      </w:r>
    </w:p>
    <w:p>
      <w:pPr>
        <w:spacing w:line="560" w:lineRule="exact"/>
        <w:ind w:firstLine="640" w:firstLineChars="200"/>
        <w:rPr>
          <w:rFonts w:cs="Times New Roman"/>
          <w:b/>
          <w:bCs/>
        </w:rPr>
      </w:pPr>
      <w:r>
        <w:rPr>
          <w:rStyle w:val="10"/>
          <w:rFonts w:hint="eastAsia" w:ascii="黑体" w:hAnsi="黑体" w:eastAsia="黑体" w:cs="黑体"/>
          <w:b w:val="0"/>
          <w:bCs w:val="0"/>
          <w:color w:val="000000"/>
          <w:sz w:val="32"/>
          <w:szCs w:val="32"/>
          <w:shd w:val="clear" w:color="auto" w:fill="FFFFFF"/>
        </w:rPr>
        <w:t>二、优化产业布局，强化农业资源环境保护</w:t>
      </w:r>
    </w:p>
    <w:p>
      <w:pPr>
        <w:pStyle w:val="7"/>
        <w:shd w:val="clear" w:color="auto" w:fill="FFFFFF"/>
        <w:snapToGrid w:val="0"/>
        <w:spacing w:before="0" w:beforeAutospacing="0" w:after="0" w:afterAutospacing="0" w:line="560" w:lineRule="exact"/>
        <w:ind w:firstLine="800" w:firstLineChars="250"/>
        <w:jc w:val="both"/>
        <w:rPr>
          <w:rFonts w:ascii="仿宋_GB2312" w:hAnsi="Calibri" w:eastAsia="Times New Roman" w:cs="Times New Roman"/>
          <w:kern w:val="2"/>
          <w:sz w:val="32"/>
          <w:szCs w:val="32"/>
        </w:rPr>
      </w:pPr>
      <w:r>
        <w:rPr>
          <w:rFonts w:hint="eastAsia" w:ascii="楷体_GB2312" w:hAnsi="楷体_GB2312" w:eastAsia="楷体_GB2312" w:cs="楷体_GB2312"/>
          <w:sz w:val="32"/>
          <w:szCs w:val="32"/>
        </w:rPr>
        <w:t>（一）优化农业主体功能布局。</w:t>
      </w:r>
      <w:r>
        <w:rPr>
          <w:rFonts w:hint="eastAsia" w:ascii="仿宋_GB2312" w:hAnsi="Calibri" w:eastAsia="仿宋_GB2312" w:cs="Times New Roman"/>
          <w:kern w:val="2"/>
          <w:sz w:val="32"/>
          <w:szCs w:val="32"/>
        </w:rPr>
        <w:t>全面落实陆海主体功能区划，统筹划定“多规合一”基本控制线，强化规划对产业发展的引导作用和环境保护的刚性约束。按照宜农则农、宜牧则牧、宜渔则渔、宜林则林的原则，调整优化农业主体功能布局。加快推进粮食生产功能区划定，以永久基本农田为基础，划定小麦、玉米粮食生产功能区70万亩。健全粮食主产区利益补偿机制。坚持以种定养、农牧结合，促使种养业在布局上相协调，在规模上相匹配，严格落实畜禽禁止养殖区、控制养殖区有关规定，进一步完善“三区”划定方案。集中集约利用岸线资源，严格控制海湾和岸线开发，优化提升石岛湾、威海湾、俚岛湾等岸段，控制开发荣成北部、乳山湾等岸段，严格保护荣成大天鹅国家级自然保护区、威海小石岛海域刺参种质资源保护区等岸段，推动海洋渔业养殖向深远海延伸。</w:t>
      </w:r>
    </w:p>
    <w:p>
      <w:pPr>
        <w:pStyle w:val="7"/>
        <w:shd w:val="clear" w:color="auto" w:fill="FFFFFF"/>
        <w:snapToGrid w:val="0"/>
        <w:spacing w:before="0" w:beforeAutospacing="0" w:after="0" w:afterAutospacing="0" w:line="560" w:lineRule="exact"/>
        <w:ind w:firstLine="800" w:firstLineChars="250"/>
        <w:jc w:val="both"/>
        <w:rPr>
          <w:rFonts w:ascii="仿宋_GB2312" w:hAnsi="Calibri" w:eastAsia="仿宋_GB2312" w:cs="Times New Roman"/>
          <w:kern w:val="2"/>
          <w:sz w:val="32"/>
          <w:szCs w:val="32"/>
        </w:rPr>
      </w:pPr>
      <w:r>
        <w:rPr>
          <w:rFonts w:hint="eastAsia" w:ascii="楷体_GB2312" w:hAnsi="楷体_GB2312" w:eastAsia="楷体_GB2312" w:cs="楷体_GB2312"/>
          <w:sz w:val="32"/>
          <w:szCs w:val="32"/>
        </w:rPr>
        <w:t>（二）加强农业资源环境综合管控</w:t>
      </w:r>
      <w:r>
        <w:rPr>
          <w:rFonts w:ascii="楷体_GB2312" w:hAnsi="楷体_GB2312" w:eastAsia="楷体_GB2312" w:cs="楷体_GB2312"/>
          <w:sz w:val="32"/>
          <w:szCs w:val="32"/>
        </w:rPr>
        <w:t>。</w:t>
      </w:r>
      <w:r>
        <w:rPr>
          <w:rFonts w:ascii="仿宋_GB2312" w:hAnsi="Calibri" w:eastAsia="仿宋_GB2312" w:cs="Times New Roman"/>
          <w:kern w:val="2"/>
          <w:sz w:val="32"/>
          <w:szCs w:val="32"/>
        </w:rPr>
        <w:t>建立工业和城镇污染向农业转移防控机制，</w:t>
      </w:r>
      <w:r>
        <w:rPr>
          <w:rFonts w:hint="eastAsia" w:ascii="仿宋_GB2312" w:hAnsi="Calibri" w:eastAsia="仿宋_GB2312" w:cs="Times New Roman"/>
          <w:kern w:val="2"/>
          <w:sz w:val="32"/>
          <w:szCs w:val="32"/>
        </w:rPr>
        <w:t>严格工业和城镇污染物处理和达标排放，</w:t>
      </w:r>
      <w:r>
        <w:rPr>
          <w:rFonts w:ascii="仿宋_GB2312" w:hAnsi="Calibri" w:eastAsia="仿宋_GB2312" w:cs="Times New Roman"/>
          <w:kern w:val="2"/>
          <w:sz w:val="32"/>
          <w:szCs w:val="32"/>
        </w:rPr>
        <w:t>依法禁止未经处理达标的工业和城镇污染物进入农田、养殖水域等农业区域。强化耕地、渔业水域、湿地等用途管控，严控填海造地等不合理开发建设活动对资源环境的破坏。</w:t>
      </w:r>
      <w:r>
        <w:rPr>
          <w:rFonts w:hint="eastAsia" w:ascii="仿宋_GB2312" w:hAnsi="Calibri" w:eastAsia="仿宋_GB2312" w:cs="Times New Roman"/>
          <w:kern w:val="2"/>
          <w:sz w:val="32"/>
          <w:szCs w:val="32"/>
        </w:rPr>
        <w:t>依法限制沿海滩涂资源过度开发利用，科学划定宜耕土地后备资源范围。</w:t>
      </w:r>
      <w:r>
        <w:rPr>
          <w:rFonts w:ascii="仿宋_GB2312" w:hAnsi="Calibri" w:eastAsia="仿宋_GB2312" w:cs="Times New Roman"/>
          <w:kern w:val="2"/>
          <w:sz w:val="32"/>
          <w:szCs w:val="32"/>
        </w:rPr>
        <w:t>以县为单位，针对农业资源与生态环境突出问题，建立农业产业准入负面清单制度，因地制宜制定禁止和限制发展产业目录，明确种植业、养殖业发展方向和开发强度，</w:t>
      </w:r>
      <w:r>
        <w:rPr>
          <w:rFonts w:hint="eastAsia" w:ascii="仿宋_GB2312" w:hAnsi="Calibri" w:eastAsia="仿宋_GB2312" w:cs="Times New Roman"/>
          <w:kern w:val="2"/>
          <w:sz w:val="32"/>
          <w:szCs w:val="32"/>
        </w:rPr>
        <w:t>强化准入管理和底线约束，</w:t>
      </w:r>
      <w:r>
        <w:rPr>
          <w:rFonts w:ascii="仿宋_GB2312" w:hAnsi="Calibri" w:eastAsia="仿宋_GB2312" w:cs="Times New Roman"/>
          <w:kern w:val="2"/>
          <w:sz w:val="32"/>
          <w:szCs w:val="32"/>
        </w:rPr>
        <w:t>分类推进重点地区资源保护和污染治理。</w:t>
      </w:r>
    </w:p>
    <w:p>
      <w:pPr>
        <w:spacing w:line="560" w:lineRule="exact"/>
        <w:ind w:firstLine="640" w:firstLineChars="200"/>
        <w:rPr>
          <w:rFonts w:ascii="仿宋_GB2312" w:hAnsi="Arial" w:eastAsia="仿宋_GB2312" w:cs="Times New Roman"/>
          <w:sz w:val="32"/>
          <w:szCs w:val="32"/>
        </w:rPr>
      </w:pPr>
      <w:r>
        <w:rPr>
          <w:rFonts w:hint="eastAsia" w:ascii="楷体_GB2312" w:hAnsi="楷体_GB2312" w:eastAsia="楷体_GB2312" w:cs="楷体_GB2312"/>
          <w:kern w:val="0"/>
          <w:sz w:val="32"/>
          <w:szCs w:val="32"/>
        </w:rPr>
        <w:t>（三）加强农业资源保护和节约利用</w:t>
      </w:r>
      <w:r>
        <w:rPr>
          <w:rFonts w:hint="eastAsia" w:ascii="仿宋_GB2312" w:hAnsi="楷体_GB2312" w:eastAsia="仿宋_GB2312" w:cs="楷体_GB2312"/>
          <w:kern w:val="0"/>
          <w:sz w:val="32"/>
          <w:szCs w:val="32"/>
        </w:rPr>
        <w:t>。</w:t>
      </w:r>
      <w:r>
        <w:rPr>
          <w:rFonts w:hint="eastAsia" w:ascii="仿宋_GB2312" w:eastAsia="仿宋_GB2312" w:cs="Times New Roman"/>
          <w:sz w:val="32"/>
          <w:szCs w:val="32"/>
        </w:rPr>
        <w:t>坚持最严格的耕地保护制度，将永久基本农田保护纳入政府耕地保护目标责任考核和领导干部自然资源资产离任审计，确保建成244万亩永久基本农田红线不动摇。加大土地整治力度，大力实施中低产田改造工程，推进高标准农田建设，到2020年，全市建设高标准农田145万亩。建立节约高效的农业用水制度，推行农业灌溉用水总量控制和定额管理，建立合理农业水价形成机制。大力发展节水农业、旱作农业，加快完善管灌、喷灌、微灌等先进节水灌溉工程体系，大力推广水肥一体化技术，推广耐旱品种和节水保墒技术，到2020年，全市节水灌溉工程面积达到153万亩以上，水肥一体化推广面积达到30万亩。强化农业生物资源保护和利用。</w:t>
      </w:r>
    </w:p>
    <w:p>
      <w:pPr>
        <w:spacing w:line="560" w:lineRule="exact"/>
        <w:ind w:firstLine="640" w:firstLineChars="200"/>
        <w:rPr>
          <w:rFonts w:ascii="仿宋_GB2312" w:hAnsi="仿宋" w:cs="Times New Roman"/>
          <w:sz w:val="32"/>
          <w:szCs w:val="32"/>
        </w:rPr>
      </w:pPr>
      <w:r>
        <w:rPr>
          <w:rFonts w:hint="eastAsia" w:ascii="楷体_GB2312" w:hAnsi="楷体_GB2312" w:eastAsia="楷体_GB2312" w:cs="楷体_GB2312"/>
          <w:kern w:val="0"/>
          <w:sz w:val="32"/>
          <w:szCs w:val="32"/>
        </w:rPr>
        <w:t>（四）加强农业生态系统养护和修复。</w:t>
      </w:r>
      <w:r>
        <w:rPr>
          <w:rFonts w:hint="eastAsia" w:ascii="仿宋_GB2312" w:eastAsia="仿宋_GB2312" w:cs="Times New Roman"/>
          <w:sz w:val="32"/>
          <w:szCs w:val="32"/>
        </w:rPr>
        <w:t>遵循生态系统整体性、生物多样性规律，合理确定种养规模，建设完善生物缓冲带、防护林网、灌溉渠系等田间基础设施，修复田间生物群落和生态链。优化乡村生产、生活功能区布局，打造种养结合、生态循环、环境优美的田园生态系统。科学划定限制、禁止水产养殖和捕捞区域，严格落实海洋伏季休渔制度，严厉打击使用“绝户网”等非法捕捞行为。加强水生生物资源养护，科学确定放流品种与数量，严格保障苗种质量。严格落实“河长制”“湖长制”“湾长制”，推动河湖海管理保护专业化、社会化，打造水更清、岸更绿、景更美的河湖海生态新格局。加强水土保持生态工程建设，到2020年新增水土流失治理面积150 平方公里。开展海岸林带、荒山、水系、城镇村等绿化工程建设，加强生态公益林、森林公园、湿地公园建设和维护。加强湿地生态保护，确保全市湿地面积总量不减少。最大限度地保留天鹅湖、黄垒河、母猪河、乳山河、香水河、昌阳河、米山水库等原生湿地生态特征和自然风貌，保护湿地生物多样性。</w:t>
      </w:r>
    </w:p>
    <w:p>
      <w:pPr>
        <w:spacing w:line="560" w:lineRule="exact"/>
        <w:ind w:firstLine="642" w:firstLineChars="200"/>
        <w:rPr>
          <w:rFonts w:ascii="黑体" w:hAnsi="黑体" w:eastAsia="黑体" w:cs="Times New Roman"/>
          <w:b/>
          <w:bCs/>
          <w:sz w:val="32"/>
          <w:szCs w:val="32"/>
        </w:rPr>
      </w:pPr>
      <w:r>
        <w:rPr>
          <w:rFonts w:hint="eastAsia" w:ascii="黑体" w:hAnsi="黑体" w:eastAsia="黑体" w:cs="黑体"/>
          <w:b/>
          <w:bCs/>
          <w:sz w:val="32"/>
          <w:szCs w:val="32"/>
        </w:rPr>
        <w:t>三、</w:t>
      </w:r>
      <w:r>
        <w:rPr>
          <w:rStyle w:val="10"/>
          <w:rFonts w:hint="eastAsia" w:ascii="黑体" w:hAnsi="黑体" w:eastAsia="黑体" w:cs="黑体"/>
          <w:b w:val="0"/>
          <w:bCs w:val="0"/>
          <w:color w:val="000000"/>
          <w:sz w:val="32"/>
          <w:szCs w:val="32"/>
          <w:shd w:val="clear" w:color="auto" w:fill="FFFFFF"/>
        </w:rPr>
        <w:t>推行清洁生产，建立绿色循环生产方式</w:t>
      </w:r>
    </w:p>
    <w:p>
      <w:pPr>
        <w:spacing w:line="560" w:lineRule="exact"/>
        <w:ind w:firstLine="640" w:firstLineChars="200"/>
        <w:rPr>
          <w:rFonts w:ascii="仿宋_GB2312" w:eastAsia="仿宋_GB2312" w:cs="Times New Roman"/>
          <w:sz w:val="32"/>
          <w:szCs w:val="32"/>
        </w:rPr>
      </w:pPr>
      <w:r>
        <w:rPr>
          <w:rFonts w:hint="eastAsia" w:ascii="楷体_GB2312" w:hAnsi="楷体_GB2312" w:eastAsia="楷体_GB2312" w:cs="楷体_GB2312"/>
          <w:kern w:val="0"/>
          <w:sz w:val="32"/>
          <w:szCs w:val="32"/>
        </w:rPr>
        <w:t>（一）实施农业投入品减量增效提质行动。</w:t>
      </w:r>
      <w:r>
        <w:rPr>
          <w:rFonts w:ascii="仿宋_GB2312" w:eastAsia="仿宋_GB2312" w:cs="Times New Roman"/>
          <w:sz w:val="32"/>
          <w:szCs w:val="32"/>
        </w:rPr>
        <w:t>深入实施化肥减量增效工程，大力推广测土配方施肥、水肥一体化技术，增施有机肥、新型肥料替代等技术措施，减少化肥施用量，提高化肥利用率。到2020年，全市测土配方施肥技术覆盖率稳定在90%以上。</w:t>
      </w:r>
      <w:r>
        <w:rPr>
          <w:rFonts w:hint="eastAsia" w:ascii="仿宋_GB2312" w:eastAsia="仿宋_GB2312" w:cs="Times New Roman"/>
          <w:sz w:val="32"/>
          <w:szCs w:val="32"/>
        </w:rPr>
        <w:t>深入实施农药减量控害工程，集成推广生物防治、物理防治和天敌控害等绿色防控技术，加快农药统防统治社会化服务进程。</w:t>
      </w:r>
      <w:r>
        <w:rPr>
          <w:rFonts w:ascii="仿宋_GB2312" w:eastAsia="仿宋_GB2312" w:cs="Times New Roman"/>
          <w:sz w:val="32"/>
          <w:szCs w:val="32"/>
        </w:rPr>
        <w:t>到2020年，</w:t>
      </w:r>
      <w:r>
        <w:rPr>
          <w:rFonts w:hint="eastAsia" w:ascii="仿宋_GB2312" w:eastAsia="仿宋_GB2312" w:cs="Times New Roman"/>
          <w:sz w:val="32"/>
          <w:szCs w:val="32"/>
        </w:rPr>
        <w:t>主要粮食作物重大病虫害统防统治覆盖率达到</w:t>
      </w:r>
      <w:r>
        <w:rPr>
          <w:rFonts w:ascii="仿宋_GB2312" w:eastAsia="仿宋_GB2312" w:cs="Times New Roman"/>
          <w:sz w:val="32"/>
          <w:szCs w:val="32"/>
        </w:rPr>
        <w:t>60</w:t>
      </w:r>
      <w:r>
        <w:rPr>
          <w:rFonts w:hint="eastAsia" w:ascii="仿宋_GB2312" w:eastAsia="仿宋_GB2312" w:cs="Times New Roman"/>
          <w:sz w:val="32"/>
          <w:szCs w:val="32"/>
        </w:rPr>
        <w:t>％</w:t>
      </w:r>
      <w:r>
        <w:rPr>
          <w:rFonts w:ascii="仿宋_GB2312" w:eastAsia="仿宋_GB2312" w:cs="Times New Roman"/>
          <w:sz w:val="32"/>
          <w:szCs w:val="32"/>
        </w:rPr>
        <w:t>。</w:t>
      </w:r>
      <w:r>
        <w:rPr>
          <w:rFonts w:hint="eastAsia" w:ascii="仿宋_GB2312" w:eastAsia="仿宋_GB2312" w:cs="Times New Roman"/>
          <w:sz w:val="32"/>
          <w:szCs w:val="32"/>
        </w:rPr>
        <w:t>加强动物疫病绿色防控，严格规范兽药、饲料添加剂的生产经营和使用。建立农业投入品电子追溯制度，严格农业投入品生产和使用管理，支持低消耗、低残留、低污染农业投入品生产。</w:t>
      </w:r>
    </w:p>
    <w:p>
      <w:pPr>
        <w:pStyle w:val="7"/>
        <w:shd w:val="clear" w:color="auto" w:fill="FFFFFF"/>
        <w:snapToGrid w:val="0"/>
        <w:spacing w:before="0" w:beforeAutospacing="0" w:after="0" w:afterAutospacing="0" w:line="560" w:lineRule="exact"/>
        <w:ind w:firstLine="800" w:firstLineChars="250"/>
        <w:jc w:val="both"/>
        <w:rPr>
          <w:rFonts w:ascii="仿宋_GB2312" w:hAnsi="仿宋" w:eastAsia="仿宋_GB2312" w:cs="Times New Roman"/>
          <w:kern w:val="2"/>
          <w:sz w:val="32"/>
          <w:szCs w:val="32"/>
        </w:rPr>
      </w:pPr>
      <w:r>
        <w:rPr>
          <w:rFonts w:hint="eastAsia" w:ascii="楷体_GB2312" w:hAnsi="楷体_GB2312" w:eastAsia="楷体_GB2312" w:cs="楷体_GB2312"/>
          <w:sz w:val="32"/>
          <w:szCs w:val="32"/>
        </w:rPr>
        <w:t>（二）推进畜禽养殖废弃物综合利用。</w:t>
      </w:r>
      <w:r>
        <w:rPr>
          <w:rFonts w:hint="eastAsia" w:ascii="仿宋_GB2312" w:hAnsi="Calibri" w:eastAsia="仿宋_GB2312" w:cs="Times New Roman"/>
          <w:kern w:val="2"/>
          <w:sz w:val="32"/>
          <w:szCs w:val="32"/>
        </w:rPr>
        <w:t>加快畜禽粪污资源化利用步伐，加强粪污收集、贮存、处理、利用设施建设，全面推行粪污处理基础设施“一控两分三防两配套一基本”标准化建设。严格落实养殖业户环境保护主体责任制度和畜禽规模养殖环评制度，对畜禽规模养殖相关规划依法依规开展环境影响评价。推动以畜禽粪污为主要原料的能源化、规模化、专业化沼气工程建设，支持规模养殖场和专业化企业生产沼气、生物天然气，促进畜禽粪污能源化。以规模养殖场为主，支持鼓励自行处理粪污，生产销售商品有机肥，或流转土地发展种植，就近消纳。鼓励中小养殖场户建立合作互助处理中心，统一收集、运输、处理养殖场户畜禽粪污。支持采取政府和社会资本合作（PPP）模式，建设专业化粪污集中处理中心，完善畜禽粪污收集、转化、利用三级网络体系，探索规模化、专业化、社会化运营机制。畜禽养殖粪污集中处理中心要配备粪污集中收集、无害化处理、有机肥生产、运输和施用等设施设备。通过支持在田间地头配套建设管网和储粪（液）池等方式，解决粪肥还田“最后一公里”问题。到 2020 年，全市畜禽粪便处理利用率达到 96%以上，污水处理利用率达到 85%以上，粪污综合利用率达到 92%以上。</w:t>
      </w:r>
    </w:p>
    <w:p>
      <w:pPr>
        <w:pStyle w:val="7"/>
        <w:shd w:val="clear" w:color="auto" w:fill="FFFFFF"/>
        <w:snapToGrid w:val="0"/>
        <w:spacing w:before="0" w:beforeAutospacing="0" w:after="0" w:afterAutospacing="0" w:line="560" w:lineRule="exact"/>
        <w:ind w:firstLine="800" w:firstLineChars="250"/>
        <w:jc w:val="both"/>
        <w:rPr>
          <w:rFonts w:ascii="仿宋_GB2312" w:hAnsi="仿宋" w:eastAsia="Times New Roman" w:cs="Times New Roman"/>
          <w:kern w:val="2"/>
          <w:sz w:val="32"/>
          <w:szCs w:val="32"/>
        </w:rPr>
      </w:pPr>
      <w:r>
        <w:rPr>
          <w:rFonts w:hint="eastAsia" w:ascii="楷体_GB2312" w:hAnsi="楷体_GB2312" w:eastAsia="楷体_GB2312" w:cs="楷体_GB2312"/>
          <w:sz w:val="32"/>
          <w:szCs w:val="32"/>
        </w:rPr>
        <w:t>（三）推进农作物秸秆等农副资源综合开发。</w:t>
      </w:r>
      <w:r>
        <w:rPr>
          <w:rFonts w:hint="eastAsia" w:ascii="仿宋_GB2312" w:hAnsi="Calibri" w:eastAsia="仿宋_GB2312" w:cs="Times New Roman"/>
          <w:kern w:val="2"/>
          <w:sz w:val="32"/>
          <w:szCs w:val="32"/>
        </w:rPr>
        <w:t>严格依法落实秸秆禁烧制度，将秸秆禁烧工作纳入各级政府工作重点，建立秸秆禁烧目标责任制，严格实行网格化管理。深入推进秸秆综合利用，大力推广秸秆精细化还田、秸秆青贮等技术，大力推行秸秆机械粉碎还田，加快灭茬机、</w:t>
      </w:r>
      <w:ins w:id="0" w:author="user" w:date="2023-08-11T10:43:01Z">
        <w:r>
          <w:rPr>
            <w:rFonts w:hint="default" w:ascii="仿宋_GB2312" w:hAnsi="Calibri" w:eastAsia="仿宋_GB2312" w:cs="Times New Roman"/>
            <w:kern w:val="2"/>
            <w:sz w:val="32"/>
            <w:szCs w:val="32"/>
            <w:lang w:val="en"/>
          </w:rPr>
          <w:t>秸秆</w:t>
        </w:r>
      </w:ins>
      <w:r>
        <w:rPr>
          <w:rFonts w:hint="eastAsia" w:ascii="仿宋_GB2312" w:hAnsi="Calibri" w:eastAsia="仿宋_GB2312" w:cs="Times New Roman"/>
          <w:kern w:val="2"/>
          <w:sz w:val="32"/>
          <w:szCs w:val="32"/>
        </w:rPr>
        <w:t>粉碎还田机、旋耕埋草机、铡草机、捡拾压捆机等</w:t>
      </w:r>
      <w:ins w:id="1" w:author="user" w:date="2023-08-11T10:43:01Z">
        <w:r>
          <w:rPr>
            <w:rFonts w:hint="default" w:ascii="仿宋_GB2312" w:hAnsi="Calibri" w:eastAsia="仿宋_GB2312" w:cs="Times New Roman"/>
            <w:kern w:val="2"/>
            <w:sz w:val="32"/>
            <w:szCs w:val="32"/>
            <w:lang w:val="en"/>
          </w:rPr>
          <w:t>秸秆</w:t>
        </w:r>
      </w:ins>
      <w:r>
        <w:rPr>
          <w:rFonts w:hint="eastAsia" w:ascii="仿宋_GB2312" w:hAnsi="Calibri" w:eastAsia="仿宋_GB2312" w:cs="Times New Roman"/>
          <w:kern w:val="2"/>
          <w:sz w:val="32"/>
          <w:szCs w:val="32"/>
        </w:rPr>
        <w:t>综合利用机械的推广应用，条件成熟的列入农机购置补贴。结合粮食绿色高产高效创建、生态循环农业等项目，示范推广秸秆肥料化、饲料化、能源化、基料化和原料化利用技术。鼓励将秸秆作为发展食用菌、栽培（育苗）基质、饲料、沼气和编织品（人造板材、包装材料）等产品的原料。示范推广食用菌菌棒菌渣多级利用，作为还田肥料、发酵床垫料、能源燃料、生态环境修复材料和饲料等原料。推进浒苔、牡蛎壳、虾蟹壳、鱼皮、鱼骨等资源综合利用，生产适合种养殖的土壤有机肥、调理剂、营养剂、海洋生物刺激素、渔用饲料等。支持龙头企业与科研院所研发农产品先进加工技术，对加工副产物进行梯次利用，“吃干榨净”，生产各类精深加工产品。</w:t>
      </w:r>
    </w:p>
    <w:p>
      <w:pPr>
        <w:pStyle w:val="7"/>
        <w:shd w:val="clear" w:color="auto" w:fill="FFFFFF"/>
        <w:snapToGrid w:val="0"/>
        <w:spacing w:before="0" w:beforeAutospacing="0" w:after="0" w:afterAutospacing="0" w:line="560" w:lineRule="exact"/>
        <w:ind w:firstLine="800" w:firstLineChars="250"/>
        <w:jc w:val="both"/>
        <w:rPr>
          <w:rFonts w:ascii="仿宋_GB2312" w:hAnsi="Calibri" w:eastAsia="仿宋_GB2312" w:cs="Times New Roman"/>
          <w:kern w:val="2"/>
          <w:sz w:val="32"/>
          <w:szCs w:val="32"/>
        </w:rPr>
      </w:pPr>
      <w:r>
        <w:rPr>
          <w:rFonts w:hint="eastAsia" w:ascii="楷体_GB2312" w:hAnsi="楷体_GB2312" w:eastAsia="楷体_GB2312" w:cs="楷体_GB2312"/>
          <w:sz w:val="32"/>
          <w:szCs w:val="32"/>
        </w:rPr>
        <w:t>（四）推进农膜和农药包装废弃物回收处置。</w:t>
      </w:r>
      <w:r>
        <w:rPr>
          <w:rFonts w:ascii="仿宋_GB2312" w:hAnsi="Calibri" w:eastAsia="仿宋_GB2312" w:cs="Times New Roman"/>
          <w:kern w:val="2"/>
          <w:sz w:val="32"/>
          <w:szCs w:val="32"/>
        </w:rPr>
        <w:t>坚持政府主导、市场化运作，建立健全农业废弃物回收处理体系，逐步建立农业废弃物回收制度。结合实施省级耕地质量提升工程地膜污染防治项目，加大推广 0.01mm 以上标准地膜力度，加大全生物可降解地膜试验示范推广力度，加大可重复利用新型反光地布替代苹果反光膜工作力度。鼓励农膜生产、销售、回收企业、其他组织和个人兴建农膜回收利用设施、贮运加工网点，完善回收利用体系。鼓励企业与大专院校、科研院所围绕农膜污染防治新模式、新途径开展联合攻关。建立农药包装废弃物回收和集中处理体系，落实使用者妥善收集、生产者和经营者回收处理责任；推行易于回收处理和再生利用的包装材料，鼓励使用大容量包装、水溶性包装。</w:t>
      </w:r>
    </w:p>
    <w:p>
      <w:pPr>
        <w:spacing w:line="560" w:lineRule="exact"/>
        <w:ind w:firstLine="640" w:firstLineChars="200"/>
        <w:rPr>
          <w:rStyle w:val="10"/>
          <w:rFonts w:ascii="黑体" w:hAnsi="黑体" w:eastAsia="黑体" w:cs="Times New Roman"/>
          <w:b w:val="0"/>
          <w:bCs w:val="0"/>
          <w:color w:val="000000"/>
          <w:sz w:val="32"/>
          <w:szCs w:val="32"/>
          <w:shd w:val="clear" w:color="auto" w:fill="FFFFFF"/>
        </w:rPr>
      </w:pPr>
      <w:r>
        <w:rPr>
          <w:rStyle w:val="10"/>
          <w:rFonts w:hint="eastAsia" w:ascii="黑体" w:hAnsi="黑体" w:eastAsia="黑体" w:cs="黑体"/>
          <w:b w:val="0"/>
          <w:bCs w:val="0"/>
          <w:color w:val="000000"/>
          <w:sz w:val="32"/>
          <w:szCs w:val="32"/>
          <w:shd w:val="clear" w:color="auto" w:fill="FFFFFF"/>
        </w:rPr>
        <w:t>四、</w:t>
      </w:r>
      <w:r>
        <w:rPr>
          <w:rStyle w:val="10"/>
          <w:rFonts w:ascii="黑体" w:hAnsi="黑体" w:eastAsia="黑体" w:cs="黑体"/>
          <w:b w:val="0"/>
          <w:bCs w:val="0"/>
          <w:color w:val="000000"/>
          <w:sz w:val="32"/>
          <w:szCs w:val="32"/>
          <w:shd w:val="clear" w:color="auto" w:fill="FFFFFF"/>
        </w:rPr>
        <w:t xml:space="preserve"> </w:t>
      </w:r>
      <w:r>
        <w:rPr>
          <w:rStyle w:val="10"/>
          <w:rFonts w:hint="eastAsia" w:ascii="黑体" w:hAnsi="黑体" w:eastAsia="黑体" w:cs="黑体"/>
          <w:b w:val="0"/>
          <w:bCs w:val="0"/>
          <w:color w:val="000000"/>
          <w:sz w:val="32"/>
          <w:szCs w:val="32"/>
          <w:shd w:val="clear" w:color="auto" w:fill="FFFFFF"/>
        </w:rPr>
        <w:t>创新体制机制，健全农业绿色发展支撑体系</w:t>
      </w:r>
    </w:p>
    <w:p>
      <w:pPr>
        <w:widowControl/>
        <w:shd w:val="clear" w:color="auto" w:fill="FFFFFF"/>
        <w:spacing w:line="560" w:lineRule="exact"/>
        <w:ind w:firstLine="627" w:firstLineChars="196"/>
        <w:rPr>
          <w:rFonts w:ascii="仿宋_GB2312" w:eastAsia="仿宋_GB2312" w:cs="Times New Roman"/>
          <w:sz w:val="32"/>
          <w:szCs w:val="32"/>
        </w:rPr>
      </w:pPr>
      <w:r>
        <w:rPr>
          <w:rFonts w:hint="eastAsia" w:ascii="楷体_GB2312" w:hAnsi="楷体_GB2312" w:eastAsia="楷体_GB2312" w:cs="楷体_GB2312"/>
          <w:kern w:val="0"/>
          <w:sz w:val="32"/>
          <w:szCs w:val="32"/>
        </w:rPr>
        <w:t>（一）构建支撑农业绿色发展的科技创新体系。</w:t>
      </w:r>
      <w:r>
        <w:rPr>
          <w:rFonts w:ascii="仿宋_GB2312" w:eastAsia="仿宋_GB2312" w:cs="Times New Roman"/>
          <w:sz w:val="32"/>
          <w:szCs w:val="32"/>
        </w:rPr>
        <w:t>实施农业科技展翅行动</w:t>
      </w:r>
      <w:r>
        <w:rPr>
          <w:rFonts w:hint="eastAsia" w:ascii="仿宋_GB2312" w:eastAsia="仿宋_GB2312" w:cs="Times New Roman"/>
          <w:sz w:val="32"/>
          <w:szCs w:val="32"/>
        </w:rPr>
        <w:t>，</w:t>
      </w:r>
      <w:r>
        <w:rPr>
          <w:rFonts w:ascii="仿宋_GB2312" w:eastAsia="仿宋_GB2312" w:cs="Times New Roman"/>
          <w:sz w:val="32"/>
          <w:szCs w:val="32"/>
        </w:rPr>
        <w:t>完善“产学研”协同创新机制，开展以农业绿色生产为重点的科技联合攻关。在农业投入品减量高效利用、主要作物种苗联合攻关、有害生物绿色防控、废弃物资源化利用、产地环境修复和农产品绿色加工贮藏等领域尽快取得一批突破性科研成果。完善农业绿色科技创新成果评价和转化机制，加快成熟适用绿色技术、绿色品种的示范、推广和应用。充分利用现代信息技术，推进智能化生产、监测、管理等“互联网+”技术在生态农业发展中的运用。依托智慧农业信息服务系统，集成推广农业生产过程中的控湿、控温、控水、控肥、控药、控氧、控饵等智能化生产控制技术，以及种植生产污染管控、畜禽养殖污染管控、水产养殖水质管控等智能化实时监管技术，推动信息技术与生态农业各环节融合。</w:t>
      </w:r>
    </w:p>
    <w:p>
      <w:pPr>
        <w:widowControl/>
        <w:shd w:val="clear" w:color="auto" w:fill="FFFFFF"/>
        <w:spacing w:line="560" w:lineRule="exact"/>
        <w:ind w:firstLine="627" w:firstLineChars="196"/>
        <w:rPr>
          <w:rFonts w:ascii="仿宋_GB2312" w:eastAsia="仿宋_GB2312" w:cs="Times New Roman"/>
          <w:sz w:val="32"/>
          <w:szCs w:val="32"/>
        </w:rPr>
      </w:pPr>
      <w:r>
        <w:rPr>
          <w:rFonts w:hint="eastAsia" w:ascii="楷体_GB2312" w:hAnsi="楷体_GB2312" w:eastAsia="楷体_GB2312" w:cs="楷体_GB2312"/>
          <w:kern w:val="0"/>
          <w:sz w:val="32"/>
          <w:szCs w:val="32"/>
        </w:rPr>
        <w:t>（二）健全农业绿色发展标准体系。</w:t>
      </w:r>
      <w:r>
        <w:rPr>
          <w:rFonts w:ascii="仿宋_GB2312" w:eastAsia="仿宋_GB2312" w:cs="Times New Roman"/>
          <w:sz w:val="32"/>
          <w:szCs w:val="32"/>
        </w:rPr>
        <w:t>突出绿色生态导向，健全农业标准体系，积极引用推荐性国家标准和行业标准，鼓励企业制定严于国家标准或者行业标准的企业标准，鼓励采用国际标准或者国外先进标准。实施农业品牌提升战略，加大“威海农产.品味自然”整体品牌形象宣传力度，培育具有区域优势特色和市场竞争力的绿色农产品区域公共品牌、企业品牌和产品品牌。加强农产品质量安全监管，健全与市场准入相衔接的食用农产品产地合格证管理制度，完善农产品质量安全追溯体系</w:t>
      </w:r>
      <w:r>
        <w:rPr>
          <w:rFonts w:hint="eastAsia" w:ascii="仿宋_GB2312" w:eastAsia="仿宋_GB2312" w:cs="Times New Roman"/>
          <w:sz w:val="32"/>
          <w:szCs w:val="32"/>
        </w:rPr>
        <w:t>，夯实生产经营者质量安全主体责任</w:t>
      </w:r>
      <w:r>
        <w:rPr>
          <w:rFonts w:ascii="仿宋_GB2312" w:eastAsia="仿宋_GB2312" w:cs="Times New Roman"/>
          <w:sz w:val="32"/>
          <w:szCs w:val="32"/>
        </w:rPr>
        <w:t>。</w:t>
      </w:r>
    </w:p>
    <w:p>
      <w:pPr>
        <w:widowControl/>
        <w:shd w:val="clear" w:color="auto" w:fill="FFFFFF"/>
        <w:spacing w:line="560" w:lineRule="exact"/>
        <w:ind w:firstLine="640" w:firstLineChars="200"/>
        <w:rPr>
          <w:rFonts w:ascii="仿宋_GB2312" w:eastAsia="仿宋_GB2312" w:cs="Times New Roman"/>
          <w:sz w:val="32"/>
          <w:szCs w:val="32"/>
        </w:rPr>
      </w:pPr>
      <w:r>
        <w:rPr>
          <w:rFonts w:hint="eastAsia" w:ascii="楷体_GB2312" w:hAnsi="楷体_GB2312" w:eastAsia="楷体_GB2312" w:cs="楷体_GB2312"/>
          <w:kern w:val="0"/>
          <w:sz w:val="32"/>
          <w:szCs w:val="32"/>
        </w:rPr>
        <w:t>（三）建立农业资源环境生态监测预警体系。</w:t>
      </w:r>
      <w:r>
        <w:rPr>
          <w:rFonts w:ascii="仿宋_GB2312" w:eastAsia="仿宋_GB2312" w:cs="Times New Roman"/>
          <w:sz w:val="32"/>
          <w:szCs w:val="32"/>
        </w:rPr>
        <w:t>加强耕地、渔业水域、生物资源、产地环境监测和预警体系建设，提高农业资源环境及农业污染状况监测和预警能力。开展耕地质量调查监测与评价，推进耕地质量监测网络建设，建立耕地质量信息发布制度。完善水土保持监测网络建设，提升水土流失及面源污染监测能力。扎实开展第二次农业污染源普查。按照国家、省统一安排，强化农产品产地土壤环境监测，扩大部、省级监测点位规模</w:t>
      </w:r>
      <w:r>
        <w:rPr>
          <w:rFonts w:hint="eastAsia" w:ascii="仿宋_GB2312" w:eastAsia="仿宋_GB2312" w:cs="Times New Roman"/>
          <w:sz w:val="32"/>
          <w:szCs w:val="32"/>
        </w:rPr>
        <w:t>，</w:t>
      </w:r>
      <w:r>
        <w:rPr>
          <w:rFonts w:ascii="仿宋_GB2312" w:eastAsia="仿宋_GB2312" w:cs="Times New Roman"/>
          <w:sz w:val="32"/>
          <w:szCs w:val="32"/>
        </w:rPr>
        <w:t>开展农业资源环境承载能力监测，对重要农业资源实行台账式管理。</w:t>
      </w:r>
    </w:p>
    <w:p>
      <w:pPr>
        <w:widowControl/>
        <w:shd w:val="clear" w:color="auto" w:fill="FFFFFF"/>
        <w:spacing w:line="560" w:lineRule="exact"/>
        <w:rPr>
          <w:rFonts w:ascii="仿宋_GB2312" w:eastAsia="仿宋_GB2312"/>
          <w:b/>
          <w:bCs/>
          <w:sz w:val="32"/>
          <w:szCs w:val="32"/>
        </w:rPr>
      </w:pPr>
      <w:r>
        <w:rPr>
          <w:rFonts w:hint="eastAsia" w:ascii="Microsoft Yahei" w:hAnsi="Microsoft Yahei" w:cs="宋体"/>
          <w:color w:val="0E0E0E"/>
          <w:kern w:val="0"/>
          <w:sz w:val="24"/>
          <w:szCs w:val="24"/>
        </w:rPr>
        <w:t>　　　</w:t>
      </w:r>
      <w:r>
        <w:rPr>
          <w:rFonts w:ascii="楷体_GB2312" w:hAnsi="楷体_GB2312" w:eastAsia="楷体_GB2312" w:cs="楷体_GB2312"/>
          <w:kern w:val="0"/>
          <w:sz w:val="32"/>
          <w:szCs w:val="32"/>
        </w:rPr>
        <w:t>(</w:t>
      </w:r>
      <w:r>
        <w:rPr>
          <w:rFonts w:hint="eastAsia" w:ascii="楷体_GB2312" w:hAnsi="楷体_GB2312" w:eastAsia="楷体_GB2312" w:cs="楷体_GB2312"/>
          <w:kern w:val="0"/>
          <w:sz w:val="32"/>
          <w:szCs w:val="32"/>
        </w:rPr>
        <w:t>四</w:t>
      </w:r>
      <w:r>
        <w:rPr>
          <w:rFonts w:ascii="楷体_GB2312" w:hAnsi="楷体_GB2312" w:eastAsia="楷体_GB2312" w:cs="楷体_GB2312"/>
          <w:kern w:val="0"/>
          <w:sz w:val="32"/>
          <w:szCs w:val="32"/>
        </w:rPr>
        <w:t>)</w:t>
      </w:r>
      <w:r>
        <w:rPr>
          <w:rFonts w:hint="eastAsia" w:ascii="楷体_GB2312" w:hAnsi="楷体_GB2312" w:eastAsia="楷体_GB2312" w:cs="楷体_GB2312"/>
          <w:kern w:val="0"/>
          <w:sz w:val="32"/>
          <w:szCs w:val="32"/>
        </w:rPr>
        <w:t>健全农业人才培养机制。</w:t>
      </w:r>
      <w:r>
        <w:rPr>
          <w:rFonts w:ascii="仿宋_GB2312" w:eastAsia="仿宋_GB2312" w:cs="Times New Roman"/>
          <w:sz w:val="32"/>
          <w:szCs w:val="32"/>
        </w:rPr>
        <w:t>完善基层农业技术推广体系，落实加强基层农技推广人才队伍建设的二十条措施，建设一支懂农业、爱农村、爱农民的农业绿色发展管理服务和技术推广人才队伍。实施新型职业农民培育工程，培养一批具有绿色发展理念、掌握绿色生产技术技能的高素质农村实用人才。</w:t>
      </w:r>
      <w:r>
        <w:rPr>
          <w:rFonts w:hint="eastAsia" w:ascii="仿宋_GB2312" w:eastAsia="仿宋_GB2312" w:cs="Times New Roman"/>
          <w:sz w:val="32"/>
          <w:szCs w:val="32"/>
        </w:rPr>
        <w:t>鼓励各类人才通过下乡担任志愿者、投资兴业、技术咨询等方式服务绿色农业发展，允许事业单位农技人员通过提供增值服务合理取酬。</w:t>
      </w:r>
      <w:r>
        <w:rPr>
          <w:rFonts w:ascii="仿宋_GB2312" w:eastAsia="仿宋_GB2312" w:cs="Times New Roman"/>
          <w:sz w:val="32"/>
          <w:szCs w:val="32"/>
        </w:rPr>
        <w:t>鼓励新型农业经营主体率先应用生态技术模式,开展绿色生产。落实生态管护员制度，在生态环境脆弱地区通过政府购买服务方式，增加护林员等公益岗位。</w:t>
      </w:r>
    </w:p>
    <w:p>
      <w:pPr>
        <w:pStyle w:val="7"/>
        <w:shd w:val="clear" w:color="auto" w:fill="FFFFFF"/>
        <w:spacing w:before="0" w:beforeAutospacing="0" w:after="0" w:afterAutospacing="0" w:line="560" w:lineRule="exact"/>
        <w:ind w:firstLine="640" w:firstLineChars="200"/>
        <w:jc w:val="both"/>
        <w:rPr>
          <w:rFonts w:ascii="黑体" w:hAnsi="黑体" w:eastAsia="黑体" w:cs="Times New Roman"/>
          <w:sz w:val="32"/>
          <w:szCs w:val="32"/>
        </w:rPr>
      </w:pPr>
      <w:r>
        <w:rPr>
          <w:rFonts w:hint="eastAsia" w:ascii="黑体" w:hAnsi="黑体" w:eastAsia="黑体" w:cs="黑体"/>
          <w:sz w:val="32"/>
          <w:szCs w:val="32"/>
        </w:rPr>
        <w:t>五、保障措施</w:t>
      </w:r>
    </w:p>
    <w:p>
      <w:pPr>
        <w:pStyle w:val="7"/>
        <w:shd w:val="clear" w:color="auto" w:fill="FFFFFF"/>
        <w:spacing w:before="0" w:beforeAutospacing="0" w:after="0" w:afterAutospacing="0" w:line="560" w:lineRule="exact"/>
        <w:ind w:firstLine="640" w:firstLineChars="200"/>
        <w:jc w:val="both"/>
        <w:rPr>
          <w:rFonts w:ascii="仿宋_GB2312" w:hAnsi="Calibri" w:eastAsia="仿宋_GB2312" w:cs="Times New Roman"/>
          <w:kern w:val="2"/>
          <w:sz w:val="32"/>
          <w:szCs w:val="32"/>
        </w:rPr>
      </w:pPr>
      <w:r>
        <w:rPr>
          <w:rFonts w:hint="eastAsia" w:ascii="楷体_GB2312" w:hAnsi="楷体_GB2312" w:eastAsia="楷体_GB2312" w:cs="楷体_GB2312"/>
          <w:sz w:val="32"/>
          <w:szCs w:val="32"/>
        </w:rPr>
        <w:t>（一）加强组织领导。</w:t>
      </w:r>
      <w:r>
        <w:rPr>
          <w:rFonts w:hint="eastAsia" w:ascii="仿宋_GB2312" w:hAnsi="Calibri" w:eastAsia="仿宋_GB2312" w:cs="Times New Roman"/>
          <w:kern w:val="2"/>
          <w:sz w:val="32"/>
          <w:szCs w:val="32"/>
        </w:rPr>
        <w:t>各级党委政府要切实加强组织领导，把农业绿色发展纳入领导干部任期生态文明建设责任制考核内容。在党委和政府的统一领导下，发展改革、科技、财政、人力资源</w:t>
      </w:r>
      <w:ins w:id="2" w:author="user" w:date="2023-08-11T10:43:43Z">
        <w:r>
          <w:rPr>
            <w:rFonts w:hint="eastAsia" w:ascii="仿宋_GB2312" w:hAnsi="Calibri" w:eastAsia="仿宋_GB2312" w:cs="Times New Roman"/>
            <w:kern w:val="2"/>
            <w:sz w:val="32"/>
            <w:szCs w:val="32"/>
            <w:lang w:eastAsia="zh-CN"/>
          </w:rPr>
          <w:t>和</w:t>
        </w:r>
      </w:ins>
      <w:bookmarkStart w:id="0" w:name="_GoBack"/>
      <w:bookmarkEnd w:id="0"/>
      <w:r>
        <w:rPr>
          <w:rFonts w:hint="eastAsia" w:ascii="仿宋_GB2312" w:hAnsi="Calibri" w:eastAsia="仿宋_GB2312" w:cs="Times New Roman"/>
          <w:kern w:val="2"/>
          <w:sz w:val="32"/>
          <w:szCs w:val="32"/>
        </w:rPr>
        <w:t>社会保障、国土资源、水利、海洋与渔业、农业、林业、环保、旅游、质量技术监督、畜牧兽医等相关部门要按照职责分工建立起齐抓共管的工作机制，各区市要结合当地实际抓好落实。</w:t>
      </w:r>
    </w:p>
    <w:p>
      <w:pPr>
        <w:pStyle w:val="7"/>
        <w:shd w:val="clear" w:color="auto" w:fill="FFFFFF"/>
        <w:spacing w:before="0" w:beforeAutospacing="0" w:after="0" w:afterAutospacing="0" w:line="560" w:lineRule="exact"/>
        <w:ind w:firstLine="640" w:firstLineChars="200"/>
        <w:jc w:val="both"/>
        <w:rPr>
          <w:rFonts w:ascii="仿宋_GB2312" w:hAnsi="Calibri" w:eastAsia="仿宋_GB2312" w:cs="Times New Roman"/>
          <w:kern w:val="2"/>
          <w:sz w:val="32"/>
          <w:szCs w:val="32"/>
        </w:rPr>
      </w:pPr>
      <w:r>
        <w:rPr>
          <w:rFonts w:hint="eastAsia" w:ascii="楷体_GB2312" w:hAnsi="楷体_GB2312" w:eastAsia="楷体_GB2312" w:cs="楷体_GB2312"/>
          <w:sz w:val="32"/>
          <w:szCs w:val="32"/>
        </w:rPr>
        <w:t>（二）加大投入力度。</w:t>
      </w:r>
      <w:r>
        <w:rPr>
          <w:rFonts w:hint="eastAsia" w:ascii="仿宋_GB2312" w:hAnsi="Calibri" w:eastAsia="仿宋_GB2312" w:cs="Times New Roman"/>
          <w:kern w:val="2"/>
          <w:sz w:val="32"/>
          <w:szCs w:val="32"/>
        </w:rPr>
        <w:t>完善以绿色生态为导向的农业补贴机制，整合涉农资金要向农业绿色发展领域倾斜，加大对耕地质量提升、生态循环农业建设、化肥农药减量增效、农业废弃物处理利用的财政支持力度，加强绿色生态类公益项目的后期管护。落实捕捞渔民减船转产、海洋牧场建设、增殖放流等相应政策和资金保障措施。建立完善森林生态效益补偿制度，逐步提高生态公益林补助标准。建立金融支持农业绿色发展的工作机制，充分发挥信贷、保险服务农业绿色发展的支持作用，引导社会资本投向农业资源节约、生态保护修复、废弃物处理利用、动物疫病防控等领域。</w:t>
      </w:r>
    </w:p>
    <w:p>
      <w:pPr>
        <w:pStyle w:val="7"/>
        <w:shd w:val="clear" w:color="auto" w:fill="FFFFFF"/>
        <w:spacing w:before="0" w:beforeAutospacing="0" w:after="0" w:afterAutospacing="0" w:line="560" w:lineRule="exact"/>
        <w:ind w:firstLine="640" w:firstLineChars="200"/>
        <w:jc w:val="both"/>
        <w:rPr>
          <w:rFonts w:ascii="仿宋_GB2312" w:hAnsi="Calibri" w:eastAsia="仿宋_GB2312" w:cs="Times New Roman"/>
          <w:kern w:val="2"/>
          <w:sz w:val="32"/>
          <w:szCs w:val="32"/>
        </w:rPr>
      </w:pPr>
      <w:r>
        <w:rPr>
          <w:rFonts w:hint="eastAsia" w:ascii="楷体_GB2312" w:hAnsi="楷体_GB2312" w:eastAsia="楷体_GB2312" w:cs="楷体_GB2312"/>
          <w:sz w:val="32"/>
          <w:szCs w:val="32"/>
        </w:rPr>
        <w:t>（三）强化考核奖惩。</w:t>
      </w:r>
      <w:r>
        <w:rPr>
          <w:rFonts w:hint="eastAsia" w:ascii="仿宋_GB2312" w:hAnsi="Calibri" w:eastAsia="仿宋_GB2312" w:cs="Times New Roman"/>
          <w:kern w:val="2"/>
          <w:sz w:val="32"/>
          <w:szCs w:val="32"/>
        </w:rPr>
        <w:t>完善农业绿色发展评价指标，结合生态文明建设目标评价考核工作，对各地农业绿色发展进行监督考核，开展部门联合督查，保证各项政策措施落到实处，确保农业绿色发展取得实效。严格综合绩效管理评价，充分发挥涉农财政资金促进农业绿色发展的整体效能。对在农业绿色发展中成绩突出的单位和个人予以表扬，对落实工作不力的，按照有关规定进行问责。</w:t>
      </w:r>
    </w:p>
    <w:p>
      <w:pPr>
        <w:pStyle w:val="7"/>
        <w:shd w:val="clear" w:color="auto" w:fill="FFFFFF"/>
        <w:spacing w:before="0" w:beforeAutospacing="0" w:after="0" w:afterAutospacing="0" w:line="560" w:lineRule="exact"/>
        <w:ind w:firstLine="640" w:firstLineChars="200"/>
        <w:jc w:val="both"/>
        <w:rPr>
          <w:rFonts w:ascii="仿宋_GB2312" w:hAnsi="Calibri" w:eastAsia="仿宋_GB2312" w:cs="Times New Roman"/>
          <w:kern w:val="2"/>
          <w:sz w:val="32"/>
          <w:szCs w:val="32"/>
        </w:rPr>
      </w:pPr>
      <w:r>
        <w:rPr>
          <w:rFonts w:hint="eastAsia" w:ascii="楷体_GB2312" w:hAnsi="楷体_GB2312" w:eastAsia="楷体_GB2312" w:cs="楷体_GB2312"/>
          <w:sz w:val="32"/>
          <w:szCs w:val="32"/>
        </w:rPr>
        <w:t>（四）加强宣传引导。</w:t>
      </w:r>
      <w:r>
        <w:rPr>
          <w:rFonts w:hint="eastAsia" w:ascii="仿宋_GB2312" w:hAnsi="Calibri" w:eastAsia="仿宋_GB2312" w:cs="Times New Roman"/>
          <w:kern w:val="2"/>
          <w:sz w:val="32"/>
          <w:szCs w:val="32"/>
        </w:rPr>
        <w:t>充分发挥国民教育、新闻宣传、科学普及、思想文化等多种渠道和各类媒体的作用，大力宣传农业绿色发展的理念、政策、路径和成果，及时总结推广生产领域、消费领域推动农业绿色发展的先进经验、典型事迹和技术模式，积极倡导农业绿色生产生活方式，努力营造农业绿色发展的良好社会氛围。</w:t>
      </w:r>
    </w:p>
    <w:p>
      <w:pPr>
        <w:pStyle w:val="7"/>
        <w:shd w:val="clear" w:color="auto" w:fill="FFFFFF"/>
        <w:spacing w:before="0" w:beforeAutospacing="0" w:after="0" w:afterAutospacing="0" w:line="560" w:lineRule="exact"/>
        <w:ind w:firstLine="640" w:firstLineChars="200"/>
        <w:jc w:val="both"/>
        <w:rPr>
          <w:rFonts w:ascii="仿宋_GB2312" w:hAnsi="Calibri" w:eastAsia="仿宋_GB2312" w:cs="Times New Roman"/>
          <w:kern w:val="2"/>
          <w:sz w:val="32"/>
          <w:szCs w:val="32"/>
        </w:rPr>
      </w:pPr>
      <w:r>
        <w:rPr>
          <w:rFonts w:hint="eastAsia" w:ascii="仿宋_GB2312" w:hAnsi="Calibri" w:eastAsia="仿宋_GB2312" w:cs="Times New Roman"/>
          <w:kern w:val="2"/>
          <w:sz w:val="32"/>
          <w:szCs w:val="32"/>
        </w:rPr>
        <w:t>本意见从</w:t>
      </w:r>
      <w:r>
        <w:rPr>
          <w:rFonts w:ascii="仿宋_GB2312" w:hAnsi="Calibri" w:eastAsia="仿宋_GB2312" w:cs="Times New Roman"/>
          <w:kern w:val="2"/>
          <w:sz w:val="32"/>
          <w:szCs w:val="32"/>
        </w:rPr>
        <w:t>2018</w:t>
      </w:r>
      <w:r>
        <w:rPr>
          <w:rFonts w:hint="eastAsia" w:ascii="仿宋_GB2312" w:hAnsi="Calibri" w:eastAsia="仿宋_GB2312" w:cs="Times New Roman"/>
          <w:kern w:val="2"/>
          <w:sz w:val="32"/>
          <w:szCs w:val="32"/>
        </w:rPr>
        <w:t>年</w:t>
      </w:r>
      <w:r>
        <w:rPr>
          <w:rFonts w:ascii="仿宋_GB2312" w:hAnsi="Calibri" w:eastAsia="仿宋_GB2312" w:cs="Times New Roman"/>
          <w:kern w:val="2"/>
          <w:sz w:val="32"/>
          <w:szCs w:val="32"/>
        </w:rPr>
        <w:t>10</w:t>
      </w:r>
      <w:r>
        <w:rPr>
          <w:rFonts w:hint="eastAsia" w:ascii="仿宋_GB2312" w:hAnsi="Calibri" w:eastAsia="仿宋_GB2312" w:cs="Times New Roman"/>
          <w:kern w:val="2"/>
          <w:sz w:val="32"/>
          <w:szCs w:val="32"/>
        </w:rPr>
        <w:t>月</w:t>
      </w:r>
      <w:r>
        <w:rPr>
          <w:rFonts w:ascii="仿宋_GB2312" w:hAnsi="Calibri" w:eastAsia="仿宋_GB2312" w:cs="Times New Roman"/>
          <w:kern w:val="2"/>
          <w:sz w:val="32"/>
          <w:szCs w:val="32"/>
        </w:rPr>
        <w:t>18</w:t>
      </w:r>
      <w:r>
        <w:rPr>
          <w:rFonts w:hint="eastAsia" w:ascii="仿宋_GB2312" w:hAnsi="Calibri" w:eastAsia="仿宋_GB2312" w:cs="Times New Roman"/>
          <w:kern w:val="2"/>
          <w:sz w:val="32"/>
          <w:szCs w:val="32"/>
        </w:rPr>
        <w:t>日起施行。此前发布的有关文件规定，凡与本意见不一致的，按照本意见执行。</w:t>
      </w:r>
    </w:p>
    <w:sectPr>
      <w:footerReference r:id="rId3"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楷体">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Microsoft Yahei">
    <w:altName w:val="Times New Roman"/>
    <w:panose1 w:val="00000000000000000000"/>
    <w:charset w:val="00"/>
    <w:family w:val="roman"/>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uto" w:vAnchor="text" w:hAnchor="margin" w:xAlign="right" w:y="1"/>
      <w:rPr>
        <w:rStyle w:val="11"/>
        <w:rFonts w:cs="Times New Roman"/>
      </w:rPr>
    </w:pPr>
    <w:r>
      <w:rPr>
        <w:rStyle w:val="11"/>
      </w:rPr>
      <w:fldChar w:fldCharType="begin"/>
    </w:r>
    <w:r>
      <w:rPr>
        <w:rStyle w:val="11"/>
      </w:rPr>
      <w:instrText xml:space="preserve">PAGE  </w:instrText>
    </w:r>
    <w:r>
      <w:rPr>
        <w:rStyle w:val="11"/>
      </w:rPr>
      <w:fldChar w:fldCharType="separate"/>
    </w:r>
    <w:r>
      <w:rPr>
        <w:rStyle w:val="11"/>
      </w:rPr>
      <w:t>2</w:t>
    </w:r>
    <w:r>
      <w:rPr>
        <w:rStyle w:val="11"/>
      </w:rPr>
      <w:fldChar w:fldCharType="end"/>
    </w:r>
  </w:p>
  <w:p>
    <w:pPr>
      <w:pStyle w:val="5"/>
      <w:ind w:right="360"/>
      <w:rPr>
        <w:rFonts w:cs="Times New Roman"/>
      </w:rPr>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true"/>
  <w:bordersDoNotSurroundFooter w:val="true"/>
  <w:trackRevisions w:val="true"/>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D68"/>
    <w:rsid w:val="00021E7C"/>
    <w:rsid w:val="00025B0C"/>
    <w:rsid w:val="00050AAC"/>
    <w:rsid w:val="000549AC"/>
    <w:rsid w:val="00071FBB"/>
    <w:rsid w:val="00073F5E"/>
    <w:rsid w:val="000808F6"/>
    <w:rsid w:val="00084051"/>
    <w:rsid w:val="00090346"/>
    <w:rsid w:val="0009507E"/>
    <w:rsid w:val="00095109"/>
    <w:rsid w:val="0009688E"/>
    <w:rsid w:val="000A67C4"/>
    <w:rsid w:val="000C2505"/>
    <w:rsid w:val="000C6877"/>
    <w:rsid w:val="000C6E01"/>
    <w:rsid w:val="000D46E1"/>
    <w:rsid w:val="00112F59"/>
    <w:rsid w:val="00115376"/>
    <w:rsid w:val="001348DE"/>
    <w:rsid w:val="00165163"/>
    <w:rsid w:val="00175D0D"/>
    <w:rsid w:val="00184967"/>
    <w:rsid w:val="00191192"/>
    <w:rsid w:val="00193426"/>
    <w:rsid w:val="00197974"/>
    <w:rsid w:val="001A184E"/>
    <w:rsid w:val="001A2A40"/>
    <w:rsid w:val="001A395A"/>
    <w:rsid w:val="001B0708"/>
    <w:rsid w:val="001B482B"/>
    <w:rsid w:val="001D59A2"/>
    <w:rsid w:val="001E1EDF"/>
    <w:rsid w:val="001E4EBD"/>
    <w:rsid w:val="00216426"/>
    <w:rsid w:val="00243CBB"/>
    <w:rsid w:val="00244806"/>
    <w:rsid w:val="00246AE6"/>
    <w:rsid w:val="002534AF"/>
    <w:rsid w:val="00260E27"/>
    <w:rsid w:val="00290D76"/>
    <w:rsid w:val="002923BF"/>
    <w:rsid w:val="002A2875"/>
    <w:rsid w:val="002A4437"/>
    <w:rsid w:val="002B0379"/>
    <w:rsid w:val="002B2993"/>
    <w:rsid w:val="002C6B04"/>
    <w:rsid w:val="002D4504"/>
    <w:rsid w:val="002E46E8"/>
    <w:rsid w:val="002E506B"/>
    <w:rsid w:val="002E6D30"/>
    <w:rsid w:val="00312E5B"/>
    <w:rsid w:val="00321166"/>
    <w:rsid w:val="0032136D"/>
    <w:rsid w:val="00323607"/>
    <w:rsid w:val="003262DE"/>
    <w:rsid w:val="00362A5D"/>
    <w:rsid w:val="00362C5D"/>
    <w:rsid w:val="003634D4"/>
    <w:rsid w:val="00364ACD"/>
    <w:rsid w:val="00373B11"/>
    <w:rsid w:val="00376770"/>
    <w:rsid w:val="00385508"/>
    <w:rsid w:val="00385625"/>
    <w:rsid w:val="00387A04"/>
    <w:rsid w:val="003942F5"/>
    <w:rsid w:val="003B3196"/>
    <w:rsid w:val="003B7E8F"/>
    <w:rsid w:val="003D4576"/>
    <w:rsid w:val="003E049C"/>
    <w:rsid w:val="003E72F8"/>
    <w:rsid w:val="00403D88"/>
    <w:rsid w:val="0040707F"/>
    <w:rsid w:val="0040772D"/>
    <w:rsid w:val="004122CF"/>
    <w:rsid w:val="00452FB4"/>
    <w:rsid w:val="004567AA"/>
    <w:rsid w:val="004816FC"/>
    <w:rsid w:val="004B197F"/>
    <w:rsid w:val="004B4698"/>
    <w:rsid w:val="004B7376"/>
    <w:rsid w:val="004E54A6"/>
    <w:rsid w:val="004E73E5"/>
    <w:rsid w:val="00500D60"/>
    <w:rsid w:val="00545589"/>
    <w:rsid w:val="00557810"/>
    <w:rsid w:val="00564130"/>
    <w:rsid w:val="0057285C"/>
    <w:rsid w:val="005772F7"/>
    <w:rsid w:val="00585A8E"/>
    <w:rsid w:val="005B4F1C"/>
    <w:rsid w:val="005B5B0E"/>
    <w:rsid w:val="005E2ADC"/>
    <w:rsid w:val="005E7509"/>
    <w:rsid w:val="005F055E"/>
    <w:rsid w:val="005F1A7A"/>
    <w:rsid w:val="005F299D"/>
    <w:rsid w:val="00616100"/>
    <w:rsid w:val="0063745A"/>
    <w:rsid w:val="00654E30"/>
    <w:rsid w:val="0066132D"/>
    <w:rsid w:val="00662286"/>
    <w:rsid w:val="00666FAC"/>
    <w:rsid w:val="006768F6"/>
    <w:rsid w:val="00681665"/>
    <w:rsid w:val="00686AC5"/>
    <w:rsid w:val="006A1F49"/>
    <w:rsid w:val="006A2460"/>
    <w:rsid w:val="006A3B9A"/>
    <w:rsid w:val="006A6DDE"/>
    <w:rsid w:val="006B5476"/>
    <w:rsid w:val="006D22D9"/>
    <w:rsid w:val="00707743"/>
    <w:rsid w:val="00721366"/>
    <w:rsid w:val="00722A9F"/>
    <w:rsid w:val="00767A84"/>
    <w:rsid w:val="0078717C"/>
    <w:rsid w:val="007928C0"/>
    <w:rsid w:val="007941E1"/>
    <w:rsid w:val="007E3A0A"/>
    <w:rsid w:val="007F57D0"/>
    <w:rsid w:val="00803520"/>
    <w:rsid w:val="00807C73"/>
    <w:rsid w:val="00826D25"/>
    <w:rsid w:val="00844ED2"/>
    <w:rsid w:val="008504BF"/>
    <w:rsid w:val="00861B79"/>
    <w:rsid w:val="00864E7E"/>
    <w:rsid w:val="008A305D"/>
    <w:rsid w:val="008B40A6"/>
    <w:rsid w:val="008C0D69"/>
    <w:rsid w:val="008C1704"/>
    <w:rsid w:val="008C6B34"/>
    <w:rsid w:val="008C7946"/>
    <w:rsid w:val="008D01F0"/>
    <w:rsid w:val="008F10AB"/>
    <w:rsid w:val="009010DA"/>
    <w:rsid w:val="00910036"/>
    <w:rsid w:val="009120FF"/>
    <w:rsid w:val="0092469B"/>
    <w:rsid w:val="00925C55"/>
    <w:rsid w:val="0092653E"/>
    <w:rsid w:val="0093368B"/>
    <w:rsid w:val="00933D58"/>
    <w:rsid w:val="009403E4"/>
    <w:rsid w:val="0094135F"/>
    <w:rsid w:val="00950642"/>
    <w:rsid w:val="00973E95"/>
    <w:rsid w:val="00984D92"/>
    <w:rsid w:val="009875A4"/>
    <w:rsid w:val="0099513F"/>
    <w:rsid w:val="009A40F7"/>
    <w:rsid w:val="009D3282"/>
    <w:rsid w:val="009D3C43"/>
    <w:rsid w:val="009D5625"/>
    <w:rsid w:val="009F3255"/>
    <w:rsid w:val="00A00D12"/>
    <w:rsid w:val="00A0797E"/>
    <w:rsid w:val="00A159B1"/>
    <w:rsid w:val="00A35CC7"/>
    <w:rsid w:val="00A4709C"/>
    <w:rsid w:val="00A67D15"/>
    <w:rsid w:val="00A82D77"/>
    <w:rsid w:val="00A83BA2"/>
    <w:rsid w:val="00A970B2"/>
    <w:rsid w:val="00AC3948"/>
    <w:rsid w:val="00AE0BC2"/>
    <w:rsid w:val="00AF6F51"/>
    <w:rsid w:val="00B05F3B"/>
    <w:rsid w:val="00B154FF"/>
    <w:rsid w:val="00B362E9"/>
    <w:rsid w:val="00B40C67"/>
    <w:rsid w:val="00B45932"/>
    <w:rsid w:val="00B81170"/>
    <w:rsid w:val="00BC2A9A"/>
    <w:rsid w:val="00BD1272"/>
    <w:rsid w:val="00BF7DBD"/>
    <w:rsid w:val="00C11411"/>
    <w:rsid w:val="00C15718"/>
    <w:rsid w:val="00C22722"/>
    <w:rsid w:val="00C4007B"/>
    <w:rsid w:val="00C5685A"/>
    <w:rsid w:val="00C62E02"/>
    <w:rsid w:val="00CA500E"/>
    <w:rsid w:val="00CB4F2D"/>
    <w:rsid w:val="00CC2A7F"/>
    <w:rsid w:val="00CC4F91"/>
    <w:rsid w:val="00CD46EB"/>
    <w:rsid w:val="00CD7923"/>
    <w:rsid w:val="00CE6F8B"/>
    <w:rsid w:val="00D01AF5"/>
    <w:rsid w:val="00D0272A"/>
    <w:rsid w:val="00D03108"/>
    <w:rsid w:val="00D0496D"/>
    <w:rsid w:val="00D10245"/>
    <w:rsid w:val="00D143F0"/>
    <w:rsid w:val="00D2042C"/>
    <w:rsid w:val="00D246CE"/>
    <w:rsid w:val="00D30CEC"/>
    <w:rsid w:val="00D37D28"/>
    <w:rsid w:val="00D37D93"/>
    <w:rsid w:val="00D52281"/>
    <w:rsid w:val="00D84C1A"/>
    <w:rsid w:val="00D86B12"/>
    <w:rsid w:val="00D90E11"/>
    <w:rsid w:val="00DA4EFD"/>
    <w:rsid w:val="00DB18A5"/>
    <w:rsid w:val="00DB68EB"/>
    <w:rsid w:val="00DD0D68"/>
    <w:rsid w:val="00DE33E6"/>
    <w:rsid w:val="00E12475"/>
    <w:rsid w:val="00E317EF"/>
    <w:rsid w:val="00E3306D"/>
    <w:rsid w:val="00E7428E"/>
    <w:rsid w:val="00EA0EB2"/>
    <w:rsid w:val="00ED1F94"/>
    <w:rsid w:val="00EF7CA9"/>
    <w:rsid w:val="00F1074B"/>
    <w:rsid w:val="00F12C17"/>
    <w:rsid w:val="00F257FB"/>
    <w:rsid w:val="00F32CA3"/>
    <w:rsid w:val="00F441BB"/>
    <w:rsid w:val="00F61C87"/>
    <w:rsid w:val="00F83B69"/>
    <w:rsid w:val="00F8538F"/>
    <w:rsid w:val="00F91FD2"/>
    <w:rsid w:val="00FE4A03"/>
    <w:rsid w:val="00FF37C9"/>
    <w:rsid w:val="FFEF61F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4">
    <w:name w:val="heading 1"/>
    <w:basedOn w:val="1"/>
    <w:next w:val="1"/>
    <w:link w:val="12"/>
    <w:qFormat/>
    <w:uiPriority w:val="99"/>
    <w:pPr>
      <w:widowControl/>
      <w:spacing w:before="100" w:beforeAutospacing="1" w:after="100" w:afterAutospacing="1"/>
      <w:jc w:val="left"/>
      <w:outlineLvl w:val="0"/>
    </w:pPr>
    <w:rPr>
      <w:rFonts w:ascii="宋体" w:hAnsi="宋体" w:cs="宋体"/>
      <w:b/>
      <w:bCs/>
      <w:kern w:val="36"/>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semiHidden/>
    <w:unhideWhenUsed/>
    <w:uiPriority w:val="99"/>
    <w:pPr>
      <w:ind w:firstLine="420" w:firstLineChars="100"/>
    </w:pPr>
  </w:style>
  <w:style w:type="paragraph" w:styleId="3">
    <w:name w:val="Body Text"/>
    <w:basedOn w:val="1"/>
    <w:semiHidden/>
    <w:unhideWhenUsed/>
    <w:uiPriority w:val="99"/>
    <w:pPr>
      <w:spacing w:after="120" w:afterLines="0" w:afterAutospacing="0"/>
    </w:pPr>
  </w:style>
  <w:style w:type="paragraph" w:styleId="5">
    <w:name w:val="footer"/>
    <w:basedOn w:val="1"/>
    <w:link w:val="14"/>
    <w:semiHidden/>
    <w:qFormat/>
    <w:uiPriority w:val="99"/>
    <w:pPr>
      <w:tabs>
        <w:tab w:val="center" w:pos="4153"/>
        <w:tab w:val="right" w:pos="8306"/>
      </w:tabs>
      <w:snapToGrid w:val="0"/>
      <w:jc w:val="left"/>
    </w:pPr>
    <w:rPr>
      <w:sz w:val="18"/>
      <w:szCs w:val="18"/>
    </w:rPr>
  </w:style>
  <w:style w:type="paragraph" w:styleId="6">
    <w:name w:val="header"/>
    <w:basedOn w:val="1"/>
    <w:link w:val="13"/>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link w:val="18"/>
    <w:qFormat/>
    <w:uiPriority w:val="99"/>
    <w:pPr>
      <w:widowControl/>
      <w:spacing w:before="100" w:beforeAutospacing="1" w:after="100" w:afterAutospacing="1"/>
      <w:jc w:val="left"/>
    </w:pPr>
    <w:rPr>
      <w:rFonts w:ascii="宋体" w:hAnsi="宋体" w:cs="宋体"/>
      <w:kern w:val="0"/>
      <w:sz w:val="24"/>
      <w:szCs w:val="24"/>
    </w:rPr>
  </w:style>
  <w:style w:type="character" w:styleId="10">
    <w:name w:val="Strong"/>
    <w:basedOn w:val="9"/>
    <w:qFormat/>
    <w:locked/>
    <w:uiPriority w:val="99"/>
    <w:rPr>
      <w:b/>
      <w:bCs/>
    </w:rPr>
  </w:style>
  <w:style w:type="character" w:styleId="11">
    <w:name w:val="page number"/>
    <w:basedOn w:val="9"/>
    <w:qFormat/>
    <w:uiPriority w:val="99"/>
  </w:style>
  <w:style w:type="character" w:customStyle="1" w:styleId="12">
    <w:name w:val="标题 1 Char"/>
    <w:basedOn w:val="9"/>
    <w:link w:val="4"/>
    <w:qFormat/>
    <w:locked/>
    <w:uiPriority w:val="99"/>
    <w:rPr>
      <w:rFonts w:ascii="宋体" w:hAnsi="宋体" w:eastAsia="宋体" w:cs="宋体"/>
      <w:b/>
      <w:bCs/>
      <w:kern w:val="36"/>
      <w:sz w:val="48"/>
      <w:szCs w:val="48"/>
    </w:rPr>
  </w:style>
  <w:style w:type="character" w:customStyle="1" w:styleId="13">
    <w:name w:val="页眉 Char"/>
    <w:basedOn w:val="9"/>
    <w:link w:val="6"/>
    <w:semiHidden/>
    <w:qFormat/>
    <w:locked/>
    <w:uiPriority w:val="99"/>
    <w:rPr>
      <w:sz w:val="18"/>
      <w:szCs w:val="18"/>
    </w:rPr>
  </w:style>
  <w:style w:type="character" w:customStyle="1" w:styleId="14">
    <w:name w:val="页脚 Char"/>
    <w:basedOn w:val="9"/>
    <w:link w:val="5"/>
    <w:semiHidden/>
    <w:qFormat/>
    <w:locked/>
    <w:uiPriority w:val="99"/>
    <w:rPr>
      <w:sz w:val="18"/>
      <w:szCs w:val="18"/>
    </w:rPr>
  </w:style>
  <w:style w:type="character" w:customStyle="1" w:styleId="15">
    <w:name w:val="fontstyle01"/>
    <w:basedOn w:val="9"/>
    <w:qFormat/>
    <w:uiPriority w:val="99"/>
    <w:rPr>
      <w:rFonts w:ascii="仿宋_GB2312" w:eastAsia="Times New Roman" w:cs="仿宋_GB2312"/>
      <w:color w:val="000000"/>
      <w:sz w:val="32"/>
      <w:szCs w:val="32"/>
    </w:rPr>
  </w:style>
  <w:style w:type="character" w:customStyle="1" w:styleId="16">
    <w:name w:val="fontstyle11"/>
    <w:basedOn w:val="9"/>
    <w:qFormat/>
    <w:uiPriority w:val="99"/>
    <w:rPr>
      <w:rFonts w:ascii="Times New Roman" w:hAnsi="Times New Roman" w:cs="Times New Roman"/>
      <w:color w:val="000000"/>
      <w:sz w:val="32"/>
      <w:szCs w:val="32"/>
    </w:rPr>
  </w:style>
  <w:style w:type="paragraph" w:customStyle="1" w:styleId="17">
    <w:name w:val="Default"/>
    <w:qFormat/>
    <w:uiPriority w:val="99"/>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18">
    <w:name w:val="普通(网站) Char"/>
    <w:basedOn w:val="9"/>
    <w:link w:val="7"/>
    <w:qFormat/>
    <w:locked/>
    <w:uiPriority w:val="99"/>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893</Words>
  <Characters>5091</Characters>
  <Lines>42</Lines>
  <Paragraphs>11</Paragraphs>
  <TotalTime>5</TotalTime>
  <ScaleCrop>false</ScaleCrop>
  <LinksUpToDate>false</LinksUpToDate>
  <CharactersWithSpaces>5973</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2018-09-04T09:33:00Z</dcterms:created>
  <dc:creator>admin</dc:creator>
  <cp:lastModifiedBy>user</cp:lastModifiedBy>
  <dcterms:modified xsi:type="dcterms:W3CDTF">2023-08-11T10:44:18Z</dcterms:modified>
  <dc:title>关于创新体制机制推进农业</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